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D2C9BD" w14:textId="77777777" w:rsidR="002E3F3F" w:rsidRDefault="002E3F3F" w:rsidP="002E3F3F">
      <w:pPr>
        <w:spacing w:after="240" w:line="240" w:lineRule="auto"/>
        <w:ind w:firstLine="0"/>
        <w:contextualSpacing/>
        <w:jc w:val="center"/>
        <w:outlineLvl w:val="9"/>
        <w:rPr>
          <w:b/>
          <w:caps/>
          <w:kern w:val="2"/>
          <w14:ligatures w14:val="standardContextual"/>
        </w:rPr>
      </w:pPr>
      <w:r w:rsidRPr="001936C4">
        <w:rPr>
          <w:b/>
          <w:caps/>
          <w:kern w:val="2"/>
          <w14:ligatures w14:val="standardContextual"/>
        </w:rPr>
        <w:t>PUC DOCKET NO. 55338</w:t>
      </w:r>
    </w:p>
    <w:p w14:paraId="39F1D5DC" w14:textId="77777777" w:rsidR="001936C4" w:rsidRPr="001936C4" w:rsidRDefault="001936C4" w:rsidP="001936C4">
      <w:pPr>
        <w:spacing w:after="240" w:line="240" w:lineRule="auto"/>
        <w:ind w:firstLine="0"/>
        <w:contextualSpacing/>
        <w:jc w:val="center"/>
        <w:outlineLvl w:val="9"/>
        <w:rPr>
          <w:b/>
          <w:caps/>
          <w:kern w:val="2"/>
          <w14:ligatures w14:val="standardContextual"/>
        </w:rPr>
      </w:pPr>
      <w:r w:rsidRPr="001936C4">
        <w:rPr>
          <w:b/>
          <w:caps/>
          <w:kern w:val="2"/>
          <w14:ligatures w14:val="standardContextual"/>
        </w:rPr>
        <w:t>SOAH DOCKET NO. 473-24-07154</w:t>
      </w:r>
    </w:p>
    <w:p w14:paraId="2D8796E0" w14:textId="77777777" w:rsidR="001936C4" w:rsidRPr="001936C4" w:rsidRDefault="001936C4" w:rsidP="001936C4">
      <w:pPr>
        <w:spacing w:after="240" w:line="240" w:lineRule="auto"/>
        <w:ind w:firstLine="0"/>
        <w:contextualSpacing/>
        <w:jc w:val="center"/>
        <w:outlineLvl w:val="9"/>
        <w:rPr>
          <w:b/>
          <w:bCs/>
          <w:caps/>
          <w:color w:val="000000" w:themeColor="text1"/>
          <w:kern w:val="2"/>
          <w14:ligatures w14:val="standardContextual"/>
        </w:rPr>
      </w:pPr>
    </w:p>
    <w:tbl>
      <w:tblPr>
        <w:tblW w:w="0" w:type="auto"/>
        <w:tblLook w:val="01E0" w:firstRow="1" w:lastRow="1" w:firstColumn="1" w:lastColumn="1" w:noHBand="0" w:noVBand="0"/>
        <w:tblCaption w:val="Case Caption"/>
      </w:tblPr>
      <w:tblGrid>
        <w:gridCol w:w="4590"/>
        <w:gridCol w:w="450"/>
        <w:gridCol w:w="4320"/>
      </w:tblGrid>
      <w:tr w:rsidR="001936C4" w:rsidRPr="001936C4" w14:paraId="5DB823FC" w14:textId="77777777">
        <w:trPr>
          <w:trHeight w:val="837"/>
        </w:trPr>
        <w:tc>
          <w:tcPr>
            <w:tcW w:w="4590" w:type="dxa"/>
            <w:hideMark/>
          </w:tcPr>
          <w:p w14:paraId="3D99E1A1" w14:textId="77777777" w:rsidR="001936C4" w:rsidRPr="001936C4" w:rsidRDefault="005F4973" w:rsidP="001936C4">
            <w:pPr>
              <w:keepNext w:val="0"/>
              <w:tabs>
                <w:tab w:val="left" w:pos="3375"/>
              </w:tabs>
              <w:spacing w:after="0" w:line="276" w:lineRule="auto"/>
              <w:ind w:firstLine="0"/>
              <w:jc w:val="left"/>
              <w:outlineLvl w:val="9"/>
              <w:rPr>
                <w:b/>
                <w:szCs w:val="20"/>
              </w:rPr>
            </w:pPr>
            <w:sdt>
              <w:sdtPr>
                <w:rPr>
                  <w:b/>
                  <w:caps/>
                  <w:szCs w:val="20"/>
                </w:rPr>
                <w:alias w:val="Case Style"/>
                <w:tag w:val="CS"/>
                <w:id w:val="-1752577598"/>
                <w:placeholder>
                  <w:docPart w:val="624B95ABEC8D4B4CBB2A9252293D9A50"/>
                </w:placeholder>
              </w:sdtPr>
              <w:sdtEndPr/>
              <w:sdtContent>
                <w:r w:rsidR="001936C4" w:rsidRPr="001936C4">
                  <w:rPr>
                    <w:b/>
                    <w:caps/>
                    <w:szCs w:val="20"/>
                  </w:rPr>
                  <w:t>PROCEEDING TO RESOLVE ISSUES IN DOCKET NO. 53719 RELATED TO TRANSPORTATION ELECTRIFICATION AND CHARGING INFRASTRUCTURE</w:t>
                </w:r>
              </w:sdtContent>
            </w:sdt>
            <w:r w:rsidR="001936C4" w:rsidRPr="001936C4">
              <w:rPr>
                <w:b/>
                <w:caps/>
                <w:szCs w:val="20"/>
              </w:rPr>
              <w:t xml:space="preserve"> </w:t>
            </w:r>
          </w:p>
        </w:tc>
        <w:tc>
          <w:tcPr>
            <w:tcW w:w="450" w:type="dxa"/>
            <w:noWrap/>
            <w:hideMark/>
          </w:tcPr>
          <w:p w14:paraId="5371C304" w14:textId="77777777" w:rsidR="001936C4" w:rsidRPr="001936C4" w:rsidRDefault="001936C4" w:rsidP="001936C4">
            <w:pPr>
              <w:keepNext w:val="0"/>
              <w:spacing w:after="0" w:line="276" w:lineRule="auto"/>
              <w:ind w:firstLine="0"/>
              <w:outlineLvl w:val="9"/>
              <w:rPr>
                <w:b/>
                <w:szCs w:val="20"/>
              </w:rPr>
            </w:pPr>
            <w:r w:rsidRPr="001936C4">
              <w:rPr>
                <w:b/>
                <w:szCs w:val="20"/>
              </w:rPr>
              <w:t>§</w:t>
            </w:r>
          </w:p>
          <w:p w14:paraId="4E534F03" w14:textId="77777777" w:rsidR="001936C4" w:rsidRPr="001936C4" w:rsidRDefault="001936C4" w:rsidP="001936C4">
            <w:pPr>
              <w:keepNext w:val="0"/>
              <w:spacing w:after="0" w:line="276" w:lineRule="auto"/>
              <w:ind w:firstLine="0"/>
              <w:outlineLvl w:val="9"/>
              <w:rPr>
                <w:b/>
                <w:szCs w:val="20"/>
              </w:rPr>
            </w:pPr>
            <w:r w:rsidRPr="001936C4">
              <w:rPr>
                <w:b/>
                <w:szCs w:val="20"/>
              </w:rPr>
              <w:t>§</w:t>
            </w:r>
          </w:p>
          <w:p w14:paraId="6D0B08C5" w14:textId="77777777" w:rsidR="001936C4" w:rsidRPr="001936C4" w:rsidRDefault="001936C4" w:rsidP="001936C4">
            <w:pPr>
              <w:keepNext w:val="0"/>
              <w:spacing w:after="0" w:line="276" w:lineRule="auto"/>
              <w:ind w:firstLine="0"/>
              <w:outlineLvl w:val="9"/>
              <w:rPr>
                <w:b/>
                <w:szCs w:val="20"/>
              </w:rPr>
            </w:pPr>
            <w:r w:rsidRPr="001936C4">
              <w:rPr>
                <w:b/>
                <w:szCs w:val="20"/>
              </w:rPr>
              <w:t>§</w:t>
            </w:r>
          </w:p>
          <w:p w14:paraId="5B5C4FDF" w14:textId="77777777" w:rsidR="001936C4" w:rsidRPr="001936C4" w:rsidRDefault="001936C4" w:rsidP="001936C4">
            <w:pPr>
              <w:keepNext w:val="0"/>
              <w:spacing w:after="0" w:line="276" w:lineRule="auto"/>
              <w:ind w:firstLine="0"/>
              <w:outlineLvl w:val="9"/>
              <w:rPr>
                <w:b/>
                <w:szCs w:val="20"/>
              </w:rPr>
            </w:pPr>
            <w:r w:rsidRPr="001936C4">
              <w:rPr>
                <w:b/>
                <w:szCs w:val="20"/>
              </w:rPr>
              <w:t>§</w:t>
            </w:r>
          </w:p>
          <w:p w14:paraId="7F7103D6" w14:textId="77777777" w:rsidR="001936C4" w:rsidRPr="001936C4" w:rsidRDefault="001936C4" w:rsidP="001936C4">
            <w:pPr>
              <w:keepNext w:val="0"/>
              <w:spacing w:after="0" w:line="276" w:lineRule="auto"/>
              <w:ind w:firstLine="0"/>
              <w:outlineLvl w:val="9"/>
              <w:rPr>
                <w:b/>
                <w:szCs w:val="20"/>
              </w:rPr>
            </w:pPr>
            <w:r w:rsidRPr="001936C4">
              <w:rPr>
                <w:b/>
                <w:szCs w:val="20"/>
              </w:rPr>
              <w:t>§</w:t>
            </w:r>
          </w:p>
        </w:tc>
        <w:tc>
          <w:tcPr>
            <w:tcW w:w="4320" w:type="dxa"/>
          </w:tcPr>
          <w:p w14:paraId="2DAD232D" w14:textId="5496B13F" w:rsidR="001936C4" w:rsidRPr="001936C4" w:rsidRDefault="002E3F3F" w:rsidP="001936C4">
            <w:pPr>
              <w:keepNext w:val="0"/>
              <w:tabs>
                <w:tab w:val="center" w:pos="4770"/>
                <w:tab w:val="left" w:pos="5400"/>
              </w:tabs>
              <w:spacing w:after="0" w:line="276" w:lineRule="auto"/>
              <w:ind w:firstLine="0"/>
              <w:jc w:val="center"/>
              <w:outlineLvl w:val="9"/>
              <w:rPr>
                <w:b/>
                <w:bCs/>
                <w:caps/>
                <w:szCs w:val="20"/>
              </w:rPr>
            </w:pPr>
            <w:r>
              <w:rPr>
                <w:b/>
                <w:bCs/>
                <w:caps/>
                <w:szCs w:val="20"/>
              </w:rPr>
              <w:t>PUBLIC UTILITY COMMISSION</w:t>
            </w:r>
          </w:p>
          <w:p w14:paraId="662B47B1" w14:textId="77777777" w:rsidR="001936C4" w:rsidRPr="001936C4" w:rsidRDefault="001936C4" w:rsidP="001936C4">
            <w:pPr>
              <w:keepNext w:val="0"/>
              <w:tabs>
                <w:tab w:val="center" w:pos="4770"/>
                <w:tab w:val="left" w:pos="5400"/>
              </w:tabs>
              <w:spacing w:after="0" w:line="276" w:lineRule="auto"/>
              <w:ind w:firstLine="0"/>
              <w:jc w:val="center"/>
              <w:outlineLvl w:val="9"/>
              <w:rPr>
                <w:b/>
                <w:bCs/>
                <w:caps/>
                <w:szCs w:val="20"/>
              </w:rPr>
            </w:pPr>
          </w:p>
          <w:p w14:paraId="256A430B" w14:textId="46B1200B" w:rsidR="001936C4" w:rsidRPr="001936C4" w:rsidRDefault="001936C4" w:rsidP="001936C4">
            <w:pPr>
              <w:keepNext w:val="0"/>
              <w:tabs>
                <w:tab w:val="center" w:pos="4770"/>
                <w:tab w:val="left" w:pos="5400"/>
              </w:tabs>
              <w:spacing w:after="0" w:line="276" w:lineRule="auto"/>
              <w:ind w:firstLine="0"/>
              <w:jc w:val="center"/>
              <w:outlineLvl w:val="9"/>
              <w:rPr>
                <w:b/>
                <w:bCs/>
                <w:caps/>
                <w:szCs w:val="20"/>
              </w:rPr>
            </w:pPr>
            <w:r w:rsidRPr="001936C4">
              <w:rPr>
                <w:b/>
                <w:bCs/>
                <w:caps/>
                <w:szCs w:val="20"/>
              </w:rPr>
              <w:t>OF</w:t>
            </w:r>
            <w:r w:rsidR="002E3F3F">
              <w:rPr>
                <w:b/>
                <w:bCs/>
                <w:caps/>
                <w:szCs w:val="20"/>
              </w:rPr>
              <w:t xml:space="preserve"> TEXAS </w:t>
            </w:r>
          </w:p>
          <w:p w14:paraId="789ACC7E" w14:textId="77777777" w:rsidR="001936C4" w:rsidRPr="001936C4" w:rsidRDefault="001936C4" w:rsidP="001936C4">
            <w:pPr>
              <w:keepNext w:val="0"/>
              <w:tabs>
                <w:tab w:val="center" w:pos="4770"/>
                <w:tab w:val="left" w:pos="5400"/>
              </w:tabs>
              <w:spacing w:after="0" w:line="276" w:lineRule="auto"/>
              <w:ind w:firstLine="0"/>
              <w:jc w:val="center"/>
              <w:outlineLvl w:val="9"/>
              <w:rPr>
                <w:b/>
                <w:bCs/>
                <w:caps/>
                <w:szCs w:val="20"/>
              </w:rPr>
            </w:pPr>
          </w:p>
          <w:p w14:paraId="65A3F342" w14:textId="142710ED" w:rsidR="001936C4" w:rsidRPr="001936C4" w:rsidRDefault="001936C4" w:rsidP="002E3F3F">
            <w:pPr>
              <w:keepNext w:val="0"/>
              <w:tabs>
                <w:tab w:val="center" w:pos="4770"/>
                <w:tab w:val="left" w:pos="5400"/>
              </w:tabs>
              <w:spacing w:after="0" w:line="276" w:lineRule="auto"/>
              <w:ind w:firstLine="0"/>
              <w:outlineLvl w:val="9"/>
              <w:rPr>
                <w:b/>
                <w:bCs/>
                <w:caps/>
                <w:szCs w:val="20"/>
              </w:rPr>
            </w:pPr>
          </w:p>
        </w:tc>
      </w:tr>
    </w:tbl>
    <w:p w14:paraId="7A7FEA23" w14:textId="77777777" w:rsidR="00450B55" w:rsidRPr="00957670" w:rsidRDefault="00450B55" w:rsidP="00450B55">
      <w:pPr>
        <w:spacing w:after="0" w:line="240" w:lineRule="auto"/>
        <w:ind w:firstLine="0"/>
        <w:jc w:val="center"/>
        <w:outlineLvl w:val="9"/>
        <w:rPr>
          <w:b/>
          <w:caps/>
        </w:rPr>
      </w:pPr>
    </w:p>
    <w:p w14:paraId="18463E73" w14:textId="2E426F60" w:rsidR="00450B55" w:rsidRPr="00957670" w:rsidRDefault="00450B55" w:rsidP="00450B55">
      <w:pPr>
        <w:spacing w:after="0" w:line="240" w:lineRule="auto"/>
        <w:ind w:firstLine="0"/>
        <w:jc w:val="center"/>
        <w:outlineLvl w:val="9"/>
        <w:rPr>
          <w:b/>
          <w:caps/>
        </w:rPr>
      </w:pPr>
      <w:r w:rsidRPr="00957670">
        <w:rPr>
          <w:b/>
          <w:caps/>
        </w:rPr>
        <w:t xml:space="preserve">Commission Staff’s </w:t>
      </w:r>
      <w:r w:rsidR="00F267A5">
        <w:rPr>
          <w:b/>
          <w:caps/>
        </w:rPr>
        <w:t>Exceptions to the PROPOSAL for Decision</w:t>
      </w:r>
    </w:p>
    <w:p w14:paraId="314819AF" w14:textId="082BE4E8" w:rsidR="00450B55" w:rsidRPr="00957670" w:rsidRDefault="00450B55" w:rsidP="00344167">
      <w:pPr>
        <w:keepNext w:val="0"/>
        <w:spacing w:after="0" w:line="240" w:lineRule="auto"/>
        <w:ind w:firstLine="0"/>
        <w:contextualSpacing/>
        <w:outlineLvl w:val="9"/>
        <w:rPr>
          <w:b/>
          <w:szCs w:val="20"/>
        </w:rPr>
      </w:pPr>
    </w:p>
    <w:p w14:paraId="07AF016D" w14:textId="77777777" w:rsidR="00344167" w:rsidRDefault="00344167" w:rsidP="00344167">
      <w:pPr>
        <w:pStyle w:val="Heading1"/>
        <w:numPr>
          <w:ilvl w:val="0"/>
          <w:numId w:val="2"/>
        </w:numPr>
        <w:spacing w:after="0" w:line="360" w:lineRule="auto"/>
        <w:ind w:left="0" w:firstLine="0"/>
        <w:rPr>
          <w:sz w:val="24"/>
          <w:szCs w:val="22"/>
        </w:rPr>
      </w:pPr>
      <w:bookmarkStart w:id="0" w:name="_Toc164041259"/>
      <w:r w:rsidRPr="00344167">
        <w:rPr>
          <w:sz w:val="24"/>
          <w:szCs w:val="22"/>
        </w:rPr>
        <w:t>INTRODUCTION</w:t>
      </w:r>
      <w:bookmarkEnd w:id="0"/>
    </w:p>
    <w:p w14:paraId="1ED25F29" w14:textId="2EE45356" w:rsidR="00BB2871" w:rsidRDefault="00F90887" w:rsidP="007D38CE">
      <w:pPr>
        <w:pStyle w:val="ListParagraph"/>
        <w:ind w:firstLine="720"/>
        <w:jc w:val="both"/>
      </w:pPr>
      <w:r>
        <w:t>On July 1, 2022, E</w:t>
      </w:r>
      <w:r w:rsidR="00624473">
        <w:t>ntergy Texas, Inc. (E</w:t>
      </w:r>
      <w:r>
        <w:t>TI</w:t>
      </w:r>
      <w:r w:rsidR="00624473">
        <w:t>)</w:t>
      </w:r>
      <w:r>
        <w:t xml:space="preserve"> filed an application </w:t>
      </w:r>
      <w:r w:rsidR="00624473">
        <w:t xml:space="preserve">with the Public Utility Commission of Texas (Commission) </w:t>
      </w:r>
      <w:r>
        <w:t xml:space="preserve">requesting authority to change its Texas retail rates in Docket No. 53719, in which ETI also requested the Commission to approve its proposed </w:t>
      </w:r>
      <w:r w:rsidR="00840C29">
        <w:t>Transportation Electrification and Charging Infrastructure (</w:t>
      </w:r>
      <w:r>
        <w:t>TECI</w:t>
      </w:r>
      <w:r w:rsidR="00840C29">
        <w:t>)</w:t>
      </w:r>
      <w:r>
        <w:t xml:space="preserve"> and </w:t>
      </w:r>
      <w:r w:rsidR="00840C29">
        <w:t>Transportation Electrification and Charging Demand Adjustment (</w:t>
      </w:r>
      <w:r>
        <w:t>TECDA</w:t>
      </w:r>
      <w:r w:rsidR="00840C29">
        <w:t>)</w:t>
      </w:r>
      <w:r>
        <w:t xml:space="preserve"> Riders.</w:t>
      </w:r>
      <w:r>
        <w:rPr>
          <w:rStyle w:val="FootnoteReference"/>
        </w:rPr>
        <w:footnoteReference w:id="2"/>
      </w:r>
      <w:r>
        <w:t xml:space="preserve"> On August 26, 2023, the Commission severed two contested issues related to </w:t>
      </w:r>
      <w:r w:rsidR="00BB2871">
        <w:t xml:space="preserve">ETI’s electric vehicle (EV) riders </w:t>
      </w:r>
      <w:r>
        <w:t>into this proceeding.</w:t>
      </w:r>
      <w:r>
        <w:rPr>
          <w:rStyle w:val="FootnoteReference"/>
        </w:rPr>
        <w:footnoteReference w:id="3"/>
      </w:r>
      <w:r>
        <w:t xml:space="preserve"> </w:t>
      </w:r>
    </w:p>
    <w:p w14:paraId="71C26A7D" w14:textId="6B9A7048" w:rsidR="007D38CE" w:rsidRDefault="007D38CE" w:rsidP="007D38CE">
      <w:pPr>
        <w:pStyle w:val="ListParagraph"/>
        <w:ind w:firstLine="720"/>
        <w:jc w:val="both"/>
      </w:pPr>
      <w:r>
        <w:t xml:space="preserve">On June 21, 2024, the </w:t>
      </w:r>
      <w:r w:rsidR="00840C29">
        <w:t>administrative law judge (ALJ) from the State Office of Administrative Hearings (</w:t>
      </w:r>
      <w:r>
        <w:t>SOAH</w:t>
      </w:r>
      <w:r w:rsidR="00840C29">
        <w:t>)</w:t>
      </w:r>
      <w:r>
        <w:t xml:space="preserve"> ALJ filed a </w:t>
      </w:r>
      <w:r w:rsidR="00840C29">
        <w:t>Proposal for Decision (</w:t>
      </w:r>
      <w:r>
        <w:t>PFD</w:t>
      </w:r>
      <w:r w:rsidR="00840C29">
        <w:t>)</w:t>
      </w:r>
      <w:r>
        <w:t xml:space="preserve"> in this docket, and on July 16, 2024, Commission Counsel filed and Exceptions and Replies Memorandum, establishing a deadline of August 1, 2024 to file exceptions to the PFD. Therefore, this pleading is timely filed.</w:t>
      </w:r>
    </w:p>
    <w:p w14:paraId="321D68B9" w14:textId="1155A157" w:rsidR="007D38CE" w:rsidRDefault="00840C29" w:rsidP="007D38CE">
      <w:pPr>
        <w:pStyle w:val="ListParagraph"/>
        <w:ind w:firstLine="720"/>
        <w:jc w:val="both"/>
      </w:pPr>
      <w:r>
        <w:t>Commission Staff (</w:t>
      </w:r>
      <w:r w:rsidR="007D38CE">
        <w:t>Staff</w:t>
      </w:r>
      <w:r>
        <w:t>)</w:t>
      </w:r>
      <w:r w:rsidR="007D38CE">
        <w:t xml:space="preserve"> is grateful for the reasoned consideration of the SOAH ALJ. This proceeding presented novel issues and the ALJ has carefully considered each of the issues in this proceeding. Staff, however, respectfully excepts to the PFD and the ALJ’s recommendation that ETI’s TECI and TECDA Riders be approved.</w:t>
      </w:r>
      <w:r w:rsidR="00BB2871">
        <w:t xml:space="preserve"> Further, because some of the issues in this proceeding are also pending resolution by the Commission in El Paso Electric Company’s (EPE) pending application for approval of Texas EV-ready pilot programs and tariffs in Docket No. 54614,</w:t>
      </w:r>
      <w:r w:rsidR="00BB2871">
        <w:rPr>
          <w:rStyle w:val="FootnoteReference"/>
        </w:rPr>
        <w:footnoteReference w:id="4"/>
      </w:r>
      <w:r w:rsidR="00BB2871">
        <w:t xml:space="preserve"> Staff refers to certain portions of the proposal for decision in that proceeding that conflict with the analysis in this PFD or that are not addressed or analyzed in this PFD.</w:t>
      </w:r>
    </w:p>
    <w:p w14:paraId="01DCA504" w14:textId="0F746CC0" w:rsidR="001020A6" w:rsidRDefault="001020A6" w:rsidP="003B1A52">
      <w:pPr>
        <w:pStyle w:val="Heading1"/>
        <w:numPr>
          <w:ilvl w:val="0"/>
          <w:numId w:val="2"/>
        </w:numPr>
        <w:spacing w:after="0" w:line="360" w:lineRule="auto"/>
        <w:ind w:left="0" w:firstLine="0"/>
        <w:rPr>
          <w:sz w:val="24"/>
          <w:szCs w:val="18"/>
        </w:rPr>
      </w:pPr>
      <w:r>
        <w:rPr>
          <w:sz w:val="24"/>
          <w:szCs w:val="18"/>
        </w:rPr>
        <w:lastRenderedPageBreak/>
        <w:t>EV RATE CLASS RECOMMENDATION</w:t>
      </w:r>
    </w:p>
    <w:p w14:paraId="0067B793" w14:textId="46E8C661" w:rsidR="00CA7EBD" w:rsidRDefault="00CA7EBD" w:rsidP="00CA7EBD">
      <w:pPr>
        <w:pStyle w:val="ListParagraph"/>
        <w:ind w:firstLine="720"/>
        <w:jc w:val="both"/>
      </w:pPr>
      <w:r>
        <w:t xml:space="preserve">As an initial matter, Staff addresses its recommendation that, if ETI intends to own and operate transportation electrification and charging infrastructure pursuant to </w:t>
      </w:r>
      <w:r w:rsidRPr="00C75CA7">
        <w:rPr>
          <w:rFonts w:cs="Times New Roman"/>
        </w:rPr>
        <w:t>PURA</w:t>
      </w:r>
      <w:r>
        <w:rPr>
          <w:rStyle w:val="FootnoteReference"/>
          <w:rFonts w:cs="Times New Roman"/>
        </w:rPr>
        <w:footnoteReference w:id="5"/>
      </w:r>
      <w:r w:rsidRPr="00C75CA7">
        <w:rPr>
          <w:rFonts w:cs="Times New Roman"/>
        </w:rPr>
        <w:t xml:space="preserve"> §§</w:t>
      </w:r>
      <w:r>
        <w:rPr>
          <w:rFonts w:cs="Times New Roman"/>
        </w:rPr>
        <w:t xml:space="preserve"> 42.0102 and 42.0103, as well as </w:t>
      </w:r>
      <w:r w:rsidR="008370F0">
        <w:rPr>
          <w:rFonts w:cs="Times New Roman"/>
        </w:rPr>
        <w:t>implement a demand charge adjustment for specific EV customers,</w:t>
      </w:r>
      <w:r>
        <w:t xml:space="preserve"> it is much more reasonable</w:t>
      </w:r>
      <w:r w:rsidR="008370F0">
        <w:t>, if not necessary,</w:t>
      </w:r>
      <w:r>
        <w:t xml:space="preserve"> for ETI to establish a separate EV rate class </w:t>
      </w:r>
      <w:r w:rsidR="00B11CFA">
        <w:t xml:space="preserve">where EV-specific policies are embedded into rates in order </w:t>
      </w:r>
      <w:r>
        <w:t xml:space="preserve">to </w:t>
      </w:r>
      <w:r w:rsidR="00B11CFA">
        <w:t>effectuate the purpose of the</w:t>
      </w:r>
      <w:r>
        <w:t xml:space="preserve"> TECI and TECDA Riders</w:t>
      </w:r>
      <w:r w:rsidR="00B11CFA">
        <w:t xml:space="preserve"> and to fully comply with Chapter</w:t>
      </w:r>
      <w:r w:rsidR="00B44F86">
        <w:t>s</w:t>
      </w:r>
      <w:r w:rsidR="00B11CFA">
        <w:t xml:space="preserve"> 42 and 36 of PURA</w:t>
      </w:r>
      <w:r>
        <w:t>.</w:t>
      </w:r>
      <w:r>
        <w:rPr>
          <w:rStyle w:val="FootnoteReference"/>
        </w:rPr>
        <w:footnoteReference w:id="6"/>
      </w:r>
      <w:r>
        <w:t xml:space="preserve"> Notably, </w:t>
      </w:r>
      <w:r w:rsidR="00892105">
        <w:t xml:space="preserve">the </w:t>
      </w:r>
      <w:r>
        <w:t>TECI and TECDA Riders</w:t>
      </w:r>
      <w:r w:rsidR="00B11CFA">
        <w:t>, as proposed,</w:t>
      </w:r>
      <w:r>
        <w:t xml:space="preserve"> inherently entail various forms of preferential treatment and result in subsidies that are applied to EV customers at the expense of non-EV customers.</w:t>
      </w:r>
    </w:p>
    <w:p w14:paraId="25FA3DE6" w14:textId="514DA294" w:rsidR="00CA7EBD" w:rsidRDefault="00CA7EBD" w:rsidP="00CA7EBD">
      <w:pPr>
        <w:pStyle w:val="ListParagraph"/>
        <w:ind w:firstLine="720"/>
        <w:jc w:val="both"/>
      </w:pPr>
      <w:r>
        <w:t xml:space="preserve">Even if </w:t>
      </w:r>
      <w:r w:rsidR="007E241C">
        <w:t xml:space="preserve">ETI </w:t>
      </w:r>
      <w:r>
        <w:t xml:space="preserve">commits to recovering the costs </w:t>
      </w:r>
      <w:r w:rsidR="00B11CFA">
        <w:t>for the TECI and TECDA Riders</w:t>
      </w:r>
      <w:r>
        <w:t xml:space="preserve"> from </w:t>
      </w:r>
      <w:r w:rsidR="00B11CFA">
        <w:t xml:space="preserve">only </w:t>
      </w:r>
      <w:r>
        <w:t xml:space="preserve">participating customers or the Commission conditions approval in that regard, such conditions would not necessarily prevent the non-participating customers from potentially bearing some of the costs. </w:t>
      </w:r>
      <w:r w:rsidR="00243DFB">
        <w:t>In terms of the TECI Rider, because the custom-tailored approach comes with customer-specific details and costs that are unknown at this time, ensuring the proper costs are being recovered from participating customers would be significantly burdensome on parties and the Commission in a future rate proceeding to review and reconcile such costs.</w:t>
      </w:r>
      <w:r w:rsidR="00243DFB">
        <w:rPr>
          <w:rStyle w:val="FootnoteReference"/>
        </w:rPr>
        <w:footnoteReference w:id="7"/>
      </w:r>
      <w:r w:rsidR="00243DFB">
        <w:t xml:space="preserve"> This is exacerbated by the fact that the Commission and parties have a growing number of incremental cost recovery riders that are already subject to reconciliation in each base rate case,</w:t>
      </w:r>
      <w:r>
        <w:rPr>
          <w:rStyle w:val="FootnoteReference"/>
        </w:rPr>
        <w:footnoteReference w:id="8"/>
      </w:r>
      <w:r w:rsidR="00243DFB">
        <w:t xml:space="preserve"> such that the Commission runs the risk of unreasonably burdening itself in future rate proceedings from being able to sufficiently review every EV-related cost</w:t>
      </w:r>
      <w:r w:rsidR="00FC3A7C">
        <w:t xml:space="preserve"> separately for each and every customer</w:t>
      </w:r>
      <w:r w:rsidR="00C65CC0">
        <w:t xml:space="preserve"> that participates</w:t>
      </w:r>
      <w:r w:rsidR="00243DFB">
        <w:t>.</w:t>
      </w:r>
      <w:r>
        <w:t xml:space="preserve"> </w:t>
      </w:r>
    </w:p>
    <w:p w14:paraId="3338CA06" w14:textId="77777777" w:rsidR="00CD3B9A" w:rsidRDefault="00CA7EBD" w:rsidP="00CA7EBD">
      <w:pPr>
        <w:pStyle w:val="ListParagraph"/>
        <w:ind w:firstLine="720"/>
        <w:jc w:val="both"/>
      </w:pPr>
      <w:r>
        <w:t xml:space="preserve">Instead, establishing a separate EV rate class </w:t>
      </w:r>
      <w:r w:rsidR="00CE41F9">
        <w:t xml:space="preserve">with tariffed numerical rates </w:t>
      </w:r>
      <w:r>
        <w:t xml:space="preserve">would 1) provide transparency </w:t>
      </w:r>
      <w:r w:rsidR="00CE41F9">
        <w:t xml:space="preserve">and predictability for customers, as well as </w:t>
      </w:r>
      <w:r>
        <w:t xml:space="preserve">for the Commission and stakeholders in the review of costs, and </w:t>
      </w:r>
      <w:r w:rsidR="00CE41F9">
        <w:t>2</w:t>
      </w:r>
      <w:r>
        <w:t xml:space="preserve">) </w:t>
      </w:r>
      <w:r w:rsidR="00CE41F9">
        <w:t xml:space="preserve">be consistent with standard ratemaking practices and with setting rates in the normal manner authorized under Chapter 36 of PURA, ensuring a better capability for ETI to comply </w:t>
      </w:r>
      <w:r>
        <w:t>with PURA and Commission</w:t>
      </w:r>
      <w:r w:rsidR="00CE41F9">
        <w:t xml:space="preserve"> rules</w:t>
      </w:r>
      <w:r>
        <w:t>.</w:t>
      </w:r>
      <w:r>
        <w:rPr>
          <w:rStyle w:val="FootnoteReference"/>
        </w:rPr>
        <w:footnoteReference w:id="9"/>
      </w:r>
      <w:r>
        <w:t xml:space="preserve"> </w:t>
      </w:r>
    </w:p>
    <w:p w14:paraId="34835E70" w14:textId="70821256" w:rsidR="008C589A" w:rsidRPr="006F114F" w:rsidRDefault="00CD3B9A" w:rsidP="006F114F">
      <w:pPr>
        <w:pStyle w:val="ListParagraph"/>
        <w:ind w:firstLine="720"/>
        <w:jc w:val="both"/>
        <w:rPr>
          <w:rFonts w:cs="Times New Roman"/>
        </w:rPr>
      </w:pPr>
      <w:r>
        <w:lastRenderedPageBreak/>
        <w:t xml:space="preserve">And in contrast with </w:t>
      </w:r>
      <w:r w:rsidR="001F7336">
        <w:t xml:space="preserve">ETI’s arguments and </w:t>
      </w:r>
      <w:r>
        <w:t xml:space="preserve">the ALJ’s </w:t>
      </w:r>
      <w:r w:rsidR="001F7336">
        <w:t xml:space="preserve">associated </w:t>
      </w:r>
      <w:r>
        <w:t>finding, standardizing costs</w:t>
      </w:r>
      <w:r w:rsidR="004639F6">
        <w:t xml:space="preserve"> pursuant to a separate EV rate class</w:t>
      </w:r>
      <w:r>
        <w:t xml:space="preserve"> would not result in an under-recovery from participating customers.</w:t>
      </w:r>
      <w:r>
        <w:rPr>
          <w:rStyle w:val="FootnoteReference"/>
        </w:rPr>
        <w:footnoteReference w:id="10"/>
      </w:r>
      <w:r>
        <w:t xml:space="preserve"> </w:t>
      </w:r>
      <w:r w:rsidR="004639F6">
        <w:t>As discussed more fully below</w:t>
      </w:r>
      <w:r w:rsidR="00CA7EBD">
        <w:t xml:space="preserve">, </w:t>
      </w:r>
      <w:r w:rsidR="004639F6">
        <w:t xml:space="preserve">because PURA </w:t>
      </w:r>
      <w:r w:rsidR="004639F6" w:rsidRPr="00C75CA7">
        <w:rPr>
          <w:rFonts w:cs="Times New Roman"/>
        </w:rPr>
        <w:t>§</w:t>
      </w:r>
      <w:r w:rsidR="004639F6">
        <w:rPr>
          <w:rFonts w:cs="Times New Roman"/>
        </w:rPr>
        <w:t xml:space="preserve"> 42.0103(o) only applies to agreements to install </w:t>
      </w:r>
      <w:r w:rsidR="004639F6">
        <w:rPr>
          <w:rFonts w:cs="Times New Roman"/>
          <w:i/>
          <w:iCs/>
        </w:rPr>
        <w:t xml:space="preserve">public </w:t>
      </w:r>
      <w:r w:rsidR="004639F6">
        <w:rPr>
          <w:rFonts w:cs="Times New Roman"/>
        </w:rPr>
        <w:t xml:space="preserve">EV charging stations that will provide EV charging services to the public, ETI’s targeted customer base will not be as extensive or various </w:t>
      </w:r>
      <w:r w:rsidR="00313D6A">
        <w:rPr>
          <w:rFonts w:cs="Times New Roman"/>
        </w:rPr>
        <w:t xml:space="preserve">as currently anticipated by ETI, </w:t>
      </w:r>
      <w:r w:rsidR="004639F6">
        <w:rPr>
          <w:rFonts w:cs="Times New Roman"/>
        </w:rPr>
        <w:t>such that a wide variety of options will not be necessary, making it easier for options to be standardized.</w:t>
      </w:r>
      <w:r w:rsidR="004639F6">
        <w:rPr>
          <w:rStyle w:val="FootnoteReference"/>
          <w:rFonts w:cs="Times New Roman"/>
        </w:rPr>
        <w:footnoteReference w:id="11"/>
      </w:r>
      <w:r w:rsidR="007505D7">
        <w:rPr>
          <w:rFonts w:cs="Times New Roman"/>
        </w:rPr>
        <w:t xml:space="preserve"> </w:t>
      </w:r>
      <w:r w:rsidR="006F114F">
        <w:rPr>
          <w:rFonts w:cs="Times New Roman"/>
        </w:rPr>
        <w:t>Accordingly, Staff’s proposal would be similar to ETI’s approved Area Lighting Service (ALS) Rider, which is standardized and specified unlike the proposed TECI Rider.</w:t>
      </w:r>
      <w:r w:rsidR="006F114F">
        <w:rPr>
          <w:rStyle w:val="FootnoteReference"/>
          <w:rFonts w:cs="Times New Roman"/>
        </w:rPr>
        <w:footnoteReference w:id="12"/>
      </w:r>
      <w:r w:rsidR="006F114F">
        <w:rPr>
          <w:rFonts w:cs="Times New Roman"/>
        </w:rPr>
        <w:t xml:space="preserve"> As such, ETI erroneously contends that the ALS Rider supports approval of the TECI Rider.</w:t>
      </w:r>
      <w:r w:rsidR="006F114F">
        <w:rPr>
          <w:rStyle w:val="FootnoteReference"/>
          <w:rFonts w:cs="Times New Roman"/>
        </w:rPr>
        <w:footnoteReference w:id="13"/>
      </w:r>
      <w:r w:rsidR="006F114F">
        <w:rPr>
          <w:rFonts w:cs="Times New Roman"/>
        </w:rPr>
        <w:t xml:space="preserve"> Similarly, because costs for EV charging stations and infrastructure, including costs for operations and maintenance (O&amp;M), can be standardized, there is no basis to conclude that ETI’s Additional Facilities Charge (AFC) Rider, Option B supports approval of the TECI Rider, as the AFC Rider has a potentially wide range of unique circumstances that might require nonstandard facilities that also come with a wide range of potential costs.</w:t>
      </w:r>
      <w:r w:rsidR="006F114F">
        <w:rPr>
          <w:rStyle w:val="FootnoteReference"/>
          <w:rFonts w:cs="Times New Roman"/>
        </w:rPr>
        <w:footnoteReference w:id="14"/>
      </w:r>
    </w:p>
    <w:p w14:paraId="347BB4B7" w14:textId="3FE3B160" w:rsidR="008C589A" w:rsidRDefault="006F114F" w:rsidP="00CA7EBD">
      <w:pPr>
        <w:pStyle w:val="ListParagraph"/>
        <w:ind w:firstLine="720"/>
        <w:jc w:val="both"/>
        <w:rPr>
          <w:rFonts w:cs="Times New Roman"/>
        </w:rPr>
      </w:pPr>
      <w:r>
        <w:rPr>
          <w:rFonts w:cs="Times New Roman"/>
        </w:rPr>
        <w:t xml:space="preserve">To argue against standardization, </w:t>
      </w:r>
      <w:r w:rsidR="006502B4">
        <w:rPr>
          <w:rFonts w:cs="Times New Roman"/>
        </w:rPr>
        <w:t>ETI contends that customers under the TECI Rider will have different amounts of power (kW) and energy (kWh) that adds complexity in the potential number of customer options.</w:t>
      </w:r>
      <w:r w:rsidR="006502B4">
        <w:rPr>
          <w:rStyle w:val="FootnoteReference"/>
          <w:rFonts w:cs="Times New Roman"/>
        </w:rPr>
        <w:footnoteReference w:id="15"/>
      </w:r>
      <w:r w:rsidR="006502B4">
        <w:rPr>
          <w:rFonts w:cs="Times New Roman"/>
        </w:rPr>
        <w:t xml:space="preserve"> Further, in an effort to argue that an EV rate class with standard pricing would not comply with Chapter 42 of PURA and the Legislature’s findings that contracts and tariffs help foster the development of the EV charging market, E</w:t>
      </w:r>
      <w:r w:rsidR="0056000C">
        <w:rPr>
          <w:rFonts w:cs="Times New Roman"/>
        </w:rPr>
        <w:t>TI</w:t>
      </w:r>
      <w:r w:rsidR="006502B4">
        <w:rPr>
          <w:rFonts w:cs="Times New Roman"/>
        </w:rPr>
        <w:t xml:space="preserve"> seemingly contends that customers would not be required to enter into an agreement with ETI, pursuant to </w:t>
      </w:r>
      <w:r w:rsidR="006502B4" w:rsidRPr="00C75CA7">
        <w:rPr>
          <w:rFonts w:cs="Times New Roman"/>
        </w:rPr>
        <w:t>§</w:t>
      </w:r>
      <w:r w:rsidR="006502B4">
        <w:rPr>
          <w:rFonts w:cs="Times New Roman"/>
        </w:rPr>
        <w:t xml:space="preserve"> 42.0103(o), if there was an EV rate class.</w:t>
      </w:r>
      <w:r w:rsidR="006502B4">
        <w:rPr>
          <w:rStyle w:val="FootnoteReference"/>
          <w:rFonts w:cs="Times New Roman"/>
        </w:rPr>
        <w:footnoteReference w:id="16"/>
      </w:r>
      <w:r w:rsidR="006502B4">
        <w:rPr>
          <w:rFonts w:cs="Times New Roman"/>
        </w:rPr>
        <w:t xml:space="preserve"> ETI, however, disregards that many of ETI’s standard rate classes 1) include rates for both power </w:t>
      </w:r>
      <w:r w:rsidR="00263FAC">
        <w:rPr>
          <w:rFonts w:cs="Times New Roman"/>
        </w:rPr>
        <w:t xml:space="preserve">(kW) </w:t>
      </w:r>
      <w:r w:rsidR="006502B4">
        <w:rPr>
          <w:rFonts w:cs="Times New Roman"/>
        </w:rPr>
        <w:t>and energy</w:t>
      </w:r>
      <w:r w:rsidR="00AA7003">
        <w:rPr>
          <w:rFonts w:cs="Times New Roman"/>
        </w:rPr>
        <w:t xml:space="preserve"> </w:t>
      </w:r>
      <w:r w:rsidR="00263FAC">
        <w:rPr>
          <w:rFonts w:cs="Times New Roman"/>
        </w:rPr>
        <w:t xml:space="preserve">(kWh) </w:t>
      </w:r>
      <w:r w:rsidR="00AA7003">
        <w:rPr>
          <w:rFonts w:cs="Times New Roman"/>
        </w:rPr>
        <w:t>and 2) are based on contracts between ETI and customers.</w:t>
      </w:r>
      <w:r w:rsidR="00AA7003">
        <w:rPr>
          <w:rStyle w:val="FootnoteReference"/>
          <w:rFonts w:cs="Times New Roman"/>
        </w:rPr>
        <w:footnoteReference w:id="17"/>
      </w:r>
      <w:r w:rsidR="00AA7003">
        <w:rPr>
          <w:rFonts w:cs="Times New Roman"/>
        </w:rPr>
        <w:t xml:space="preserve"> </w:t>
      </w:r>
    </w:p>
    <w:p w14:paraId="330058B5" w14:textId="6EFE26E9" w:rsidR="006502B4" w:rsidRDefault="00AA7003" w:rsidP="00CA7EBD">
      <w:pPr>
        <w:pStyle w:val="ListParagraph"/>
        <w:ind w:firstLine="720"/>
        <w:jc w:val="both"/>
        <w:rPr>
          <w:rFonts w:cs="Times New Roman"/>
        </w:rPr>
      </w:pPr>
      <w:r>
        <w:rPr>
          <w:rFonts w:cs="Times New Roman"/>
        </w:rPr>
        <w:lastRenderedPageBreak/>
        <w:t xml:space="preserve">Regarding the former, there is </w:t>
      </w:r>
      <w:r w:rsidR="008C589A">
        <w:rPr>
          <w:rFonts w:cs="Times New Roman"/>
        </w:rPr>
        <w:t xml:space="preserve">no </w:t>
      </w:r>
      <w:r w:rsidR="00263FAC">
        <w:rPr>
          <w:rFonts w:cs="Times New Roman"/>
        </w:rPr>
        <w:t>basis to conclude that the same customers, who inten</w:t>
      </w:r>
      <w:r w:rsidR="000D66B2">
        <w:rPr>
          <w:rFonts w:cs="Times New Roman"/>
        </w:rPr>
        <w:t>d</w:t>
      </w:r>
      <w:r w:rsidR="00263FAC">
        <w:rPr>
          <w:rFonts w:cs="Times New Roman"/>
        </w:rPr>
        <w:t xml:space="preserve"> to install and use EV charging stations, will have any more varied amounts of power (kW) and energy (kWh) under an EV rate class than they already might have under their existing rate classes.</w:t>
      </w:r>
      <w:r w:rsidR="003C1CFB">
        <w:rPr>
          <w:rStyle w:val="FootnoteReference"/>
          <w:rFonts w:cs="Times New Roman"/>
        </w:rPr>
        <w:footnoteReference w:id="18"/>
      </w:r>
      <w:r w:rsidR="00263FAC">
        <w:rPr>
          <w:rFonts w:cs="Times New Roman"/>
        </w:rPr>
        <w:t xml:space="preserve"> </w:t>
      </w:r>
      <w:r w:rsidR="00263FAC" w:rsidRPr="00263FAC">
        <w:rPr>
          <w:rFonts w:cs="Times New Roman"/>
        </w:rPr>
        <w:t>As an example, the General Service rates are applicable to customers who contract for not less than 5kW or not more 2,500 kW of electric service to be used for general lighting and power, suggesting a varying array of usage by customers in the General Service rate class.</w:t>
      </w:r>
      <w:r w:rsidR="00263FAC">
        <w:rPr>
          <w:rStyle w:val="FootnoteReference"/>
          <w:rFonts w:cs="Times New Roman"/>
        </w:rPr>
        <w:footnoteReference w:id="19"/>
      </w:r>
      <w:r w:rsidR="00263FAC" w:rsidRPr="00263FAC">
        <w:rPr>
          <w:rFonts w:cs="Times New Roman"/>
        </w:rPr>
        <w:t xml:space="preserve"> Accordingly, an EV rate class can similarly provide standardized rates for power (kW) and energy (kWh), with such rates being applicable to customers who contract with ETI under the EV rate class</w:t>
      </w:r>
      <w:r w:rsidR="006502B4">
        <w:rPr>
          <w:rFonts w:cs="Times New Roman"/>
        </w:rPr>
        <w:t>.</w:t>
      </w:r>
      <w:r w:rsidR="00263FAC">
        <w:rPr>
          <w:rStyle w:val="FootnoteReference"/>
          <w:rFonts w:cs="Times New Roman"/>
        </w:rPr>
        <w:footnoteReference w:id="20"/>
      </w:r>
    </w:p>
    <w:p w14:paraId="0F318E5C" w14:textId="148D505D" w:rsidR="00C313DE" w:rsidRPr="004639F6" w:rsidRDefault="00C313DE" w:rsidP="00CA7EBD">
      <w:pPr>
        <w:pStyle w:val="ListParagraph"/>
        <w:ind w:firstLine="720"/>
        <w:jc w:val="both"/>
      </w:pPr>
      <w:r>
        <w:rPr>
          <w:rFonts w:cs="Times New Roman"/>
        </w:rPr>
        <w:t xml:space="preserve">Further, that ETI does not intend to provide EV charging services pursuant to </w:t>
      </w:r>
      <w:r w:rsidR="00EE4996">
        <w:rPr>
          <w:rFonts w:cs="Times New Roman"/>
        </w:rPr>
        <w:t xml:space="preserve">PURA </w:t>
      </w:r>
      <w:r w:rsidR="00EE4996" w:rsidRPr="00C75CA7">
        <w:rPr>
          <w:rFonts w:cs="Times New Roman"/>
        </w:rPr>
        <w:t>§</w:t>
      </w:r>
      <w:r w:rsidR="00EE4996">
        <w:rPr>
          <w:rFonts w:cs="Times New Roman"/>
        </w:rPr>
        <w:t> 42.0103(</w:t>
      </w:r>
      <w:r>
        <w:rPr>
          <w:rFonts w:cs="Times New Roman"/>
        </w:rPr>
        <w:t xml:space="preserve">e) is not relevant to whether ETI should be required to establish a separate EV rate class. Specifically, the PFD refers to ETI’s arguments that Staff misunderstands the intent of the TECI Rider </w:t>
      </w:r>
      <w:r w:rsidR="00B84675">
        <w:rPr>
          <w:rFonts w:cs="Times New Roman"/>
        </w:rPr>
        <w:t>in that ETI does not intend to provide EV charging services.</w:t>
      </w:r>
      <w:r w:rsidR="00B84675">
        <w:rPr>
          <w:rStyle w:val="FootnoteReference"/>
          <w:rFonts w:cs="Times New Roman"/>
        </w:rPr>
        <w:footnoteReference w:id="21"/>
      </w:r>
      <w:r w:rsidR="00581BAC">
        <w:rPr>
          <w:rFonts w:cs="Times New Roman"/>
        </w:rPr>
        <w:t xml:space="preserve"> More specifically, ETI’s argument focuses on Staff’s reference to PURA </w:t>
      </w:r>
      <w:r w:rsidR="00581BAC" w:rsidRPr="00C75CA7">
        <w:rPr>
          <w:rFonts w:cs="Times New Roman"/>
        </w:rPr>
        <w:t>§</w:t>
      </w:r>
      <w:r w:rsidR="00581BAC">
        <w:rPr>
          <w:rFonts w:cs="Times New Roman"/>
        </w:rPr>
        <w:t> 42.0103(m), related to the requirement that rates for EV charging services be entirely consistent with setting rates in the normal manner authorized under Chapter 36 of PURA.</w:t>
      </w:r>
      <w:r w:rsidR="00581BAC">
        <w:rPr>
          <w:rStyle w:val="FootnoteReference"/>
          <w:rFonts w:cs="Times New Roman"/>
        </w:rPr>
        <w:footnoteReference w:id="22"/>
      </w:r>
      <w:r w:rsidR="00581BAC">
        <w:rPr>
          <w:rFonts w:cs="Times New Roman"/>
        </w:rPr>
        <w:t xml:space="preserve"> By focusing on the singular reference</w:t>
      </w:r>
      <w:r w:rsidR="004B5570">
        <w:rPr>
          <w:rFonts w:cs="Times New Roman"/>
        </w:rPr>
        <w:t xml:space="preserve"> to PURA </w:t>
      </w:r>
      <w:r w:rsidR="004B5570" w:rsidRPr="00C75CA7">
        <w:rPr>
          <w:rFonts w:cs="Times New Roman"/>
        </w:rPr>
        <w:t>§</w:t>
      </w:r>
      <w:r w:rsidR="004B5570">
        <w:rPr>
          <w:rFonts w:cs="Times New Roman"/>
        </w:rPr>
        <w:t> 42.0103(m)</w:t>
      </w:r>
      <w:r w:rsidR="00581BAC">
        <w:rPr>
          <w:rFonts w:cs="Times New Roman"/>
        </w:rPr>
        <w:t xml:space="preserve">, ETI mischaracterizes </w:t>
      </w:r>
      <w:r w:rsidR="00F0082D">
        <w:rPr>
          <w:rFonts w:cs="Times New Roman"/>
        </w:rPr>
        <w:t>Staff’s discussion</w:t>
      </w:r>
      <w:r w:rsidR="00EE4996">
        <w:rPr>
          <w:rFonts w:cs="Times New Roman"/>
        </w:rPr>
        <w:t xml:space="preserve">. Instead, </w:t>
      </w:r>
      <w:r w:rsidR="00F0082D">
        <w:rPr>
          <w:rFonts w:cs="Times New Roman"/>
        </w:rPr>
        <w:t xml:space="preserve">the context </w:t>
      </w:r>
      <w:r w:rsidR="00846C16">
        <w:rPr>
          <w:rFonts w:cs="Times New Roman"/>
        </w:rPr>
        <w:t xml:space="preserve">behind Staff’s </w:t>
      </w:r>
      <w:r w:rsidR="00EE4996">
        <w:rPr>
          <w:rFonts w:cs="Times New Roman"/>
        </w:rPr>
        <w:t xml:space="preserve">reference to PURA </w:t>
      </w:r>
      <w:r w:rsidR="00EE4996" w:rsidRPr="00C75CA7">
        <w:rPr>
          <w:rFonts w:cs="Times New Roman"/>
        </w:rPr>
        <w:t>§</w:t>
      </w:r>
      <w:r w:rsidR="00EE4996">
        <w:rPr>
          <w:rFonts w:cs="Times New Roman"/>
        </w:rPr>
        <w:t xml:space="preserve"> 42.0103(m) </w:t>
      </w:r>
      <w:r w:rsidR="00F0082D">
        <w:rPr>
          <w:rFonts w:cs="Times New Roman"/>
        </w:rPr>
        <w:t>was to convey that an EV rate class would be entirely consistent with setting rates in the normal manner authorized under Chapter 36 of PURA,</w:t>
      </w:r>
      <w:r w:rsidR="00846C16">
        <w:rPr>
          <w:rStyle w:val="FootnoteReference"/>
          <w:rFonts w:cs="Times New Roman"/>
        </w:rPr>
        <w:footnoteReference w:id="23"/>
      </w:r>
      <w:r w:rsidR="00F0082D">
        <w:rPr>
          <w:rFonts w:cs="Times New Roman"/>
        </w:rPr>
        <w:t xml:space="preserve"> not that ETI must be providing EV charging services for ETI to establish an EV rate class.</w:t>
      </w:r>
    </w:p>
    <w:p w14:paraId="105D4839" w14:textId="059DA981" w:rsidR="00CA7EBD" w:rsidRPr="00B5220C" w:rsidRDefault="006C7FCF" w:rsidP="00CA7EBD">
      <w:pPr>
        <w:pStyle w:val="ListParagraph"/>
        <w:ind w:firstLine="720"/>
        <w:jc w:val="both"/>
      </w:pPr>
      <w:r>
        <w:t xml:space="preserve">Lastly, in response to </w:t>
      </w:r>
      <w:r w:rsidR="00CA7EBD">
        <w:t>concern</w:t>
      </w:r>
      <w:r>
        <w:t>s</w:t>
      </w:r>
      <w:r w:rsidR="00CA7EBD">
        <w:t xml:space="preserve"> about the delay in being able to </w:t>
      </w:r>
      <w:r>
        <w:t>establish an EV rate class, ETI is free to submit a base rate application prior to its next deadline to file such an application.</w:t>
      </w:r>
      <w:r>
        <w:rPr>
          <w:rStyle w:val="FootnoteReference"/>
        </w:rPr>
        <w:footnoteReference w:id="24"/>
      </w:r>
      <w:r>
        <w:t xml:space="preserve"> </w:t>
      </w:r>
      <w:r w:rsidR="00CA7EBD">
        <w:t xml:space="preserve">Alternatively, </w:t>
      </w:r>
      <w:r>
        <w:t>ETI</w:t>
      </w:r>
      <w:r w:rsidR="00CA7EBD">
        <w:t xml:space="preserve"> may seek approval of a separate EV rate class </w:t>
      </w:r>
      <w:r>
        <w:t xml:space="preserve">with demand charges </w:t>
      </w:r>
      <w:r w:rsidR="00CA7EBD">
        <w:t>outside of its base rate case.</w:t>
      </w:r>
      <w:r w:rsidR="00CA7EBD">
        <w:rPr>
          <w:rStyle w:val="FootnoteReference"/>
        </w:rPr>
        <w:footnoteReference w:id="25"/>
      </w:r>
      <w:r w:rsidR="00CA7EBD">
        <w:t xml:space="preserve"> Further, E</w:t>
      </w:r>
      <w:r>
        <w:t>TI</w:t>
      </w:r>
      <w:r w:rsidR="00CA7EBD">
        <w:t xml:space="preserve"> may also, as necessary, seek approval to establish additional EV </w:t>
      </w:r>
      <w:r w:rsidR="00CA7EBD">
        <w:lastRenderedPageBreak/>
        <w:t>rate options outside of a base rate case, such that additional options for EV-related services, infrastructure, and equipment may be added, as necessary, in the future on an expedited basis.</w:t>
      </w:r>
      <w:r w:rsidR="00CA7EBD">
        <w:rPr>
          <w:rStyle w:val="FootnoteReference"/>
        </w:rPr>
        <w:footnoteReference w:id="26"/>
      </w:r>
      <w:r w:rsidR="00CA7EBD">
        <w:t xml:space="preserve"> Notwithstanding the foregoing options, to the extent that the Commission determines to approve E</w:t>
      </w:r>
      <w:r w:rsidR="00D00EFA">
        <w:t>TI</w:t>
      </w:r>
      <w:r w:rsidR="00CA7EBD">
        <w:t>’s application, Staff recommends that E</w:t>
      </w:r>
      <w:r w:rsidR="00D00EFA">
        <w:t>TI</w:t>
      </w:r>
      <w:r w:rsidR="00CA7EBD">
        <w:t xml:space="preserve"> be required to establish a separate EV rate class in a future rate proceeding so that the costs for the</w:t>
      </w:r>
      <w:r w:rsidR="00D00EFA">
        <w:t xml:space="preserve"> TECI and TECDA Rider </w:t>
      </w:r>
      <w:r w:rsidR="00CA7EBD">
        <w:t>are recovered only from an EV rate class.</w:t>
      </w:r>
      <w:r w:rsidR="00A61C91">
        <w:t xml:space="preserve"> Notably, both Americans for Affordable Clean Energy and Walmart, Inc. </w:t>
      </w:r>
      <w:r w:rsidR="007C22DD">
        <w:t xml:space="preserve">(Walmart) </w:t>
      </w:r>
      <w:r w:rsidR="00A61C91">
        <w:t>find merit in Staff’s proposal for an EV rate class.</w:t>
      </w:r>
      <w:r w:rsidR="00A61C91">
        <w:rPr>
          <w:rStyle w:val="FootnoteReference"/>
        </w:rPr>
        <w:footnoteReference w:id="27"/>
      </w:r>
      <w:r w:rsidR="00B44F86">
        <w:t xml:space="preserve"> </w:t>
      </w:r>
    </w:p>
    <w:p w14:paraId="4EBF3B85" w14:textId="77777777" w:rsidR="001020A6" w:rsidRPr="001020A6" w:rsidRDefault="001020A6" w:rsidP="00361850">
      <w:pPr>
        <w:pStyle w:val="ListParagraph"/>
        <w:ind w:firstLine="720"/>
        <w:jc w:val="both"/>
      </w:pPr>
    </w:p>
    <w:p w14:paraId="24D5267E" w14:textId="780C105D" w:rsidR="00B57085" w:rsidRPr="00957670" w:rsidRDefault="002740AB" w:rsidP="003B1A52">
      <w:pPr>
        <w:pStyle w:val="Heading1"/>
        <w:numPr>
          <w:ilvl w:val="0"/>
          <w:numId w:val="2"/>
        </w:numPr>
        <w:spacing w:after="0" w:line="360" w:lineRule="auto"/>
        <w:ind w:left="0" w:firstLine="0"/>
        <w:rPr>
          <w:sz w:val="24"/>
          <w:szCs w:val="18"/>
        </w:rPr>
      </w:pPr>
      <w:r>
        <w:rPr>
          <w:sz w:val="24"/>
          <w:szCs w:val="18"/>
        </w:rPr>
        <w:t>EXCEPTIONS</w:t>
      </w:r>
    </w:p>
    <w:p w14:paraId="70E67C41" w14:textId="331E3CF4" w:rsidR="00523858" w:rsidRDefault="002740AB" w:rsidP="008E6E2E">
      <w:pPr>
        <w:pStyle w:val="Heading2"/>
        <w:numPr>
          <w:ilvl w:val="0"/>
          <w:numId w:val="6"/>
        </w:numPr>
        <w:spacing w:line="240" w:lineRule="auto"/>
        <w:ind w:hanging="720"/>
        <w:jc w:val="both"/>
        <w:rPr>
          <w:caps w:val="0"/>
        </w:rPr>
      </w:pPr>
      <w:r>
        <w:rPr>
          <w:caps w:val="0"/>
        </w:rPr>
        <w:t>TECI Rider</w:t>
      </w:r>
    </w:p>
    <w:p w14:paraId="2D603C8E" w14:textId="702E877A" w:rsidR="002740AB" w:rsidRDefault="002740AB" w:rsidP="00E1326E">
      <w:pPr>
        <w:pStyle w:val="ListParagraph"/>
        <w:numPr>
          <w:ilvl w:val="0"/>
          <w:numId w:val="12"/>
        </w:numPr>
        <w:ind w:left="1080"/>
      </w:pPr>
      <w:r>
        <w:t xml:space="preserve">ALJ’s Analysis </w:t>
      </w:r>
    </w:p>
    <w:p w14:paraId="7CCF109E" w14:textId="04921C4D" w:rsidR="0088304B" w:rsidRDefault="00272523" w:rsidP="00272523">
      <w:pPr>
        <w:pStyle w:val="ListParagraph"/>
        <w:ind w:firstLine="720"/>
        <w:jc w:val="both"/>
      </w:pPr>
      <w:r>
        <w:t xml:space="preserve">Staff’s primary recommendation is that the TECI Rider does not comply with Chapter 42 of PURA and, more particularly, PURA </w:t>
      </w:r>
      <w:r w:rsidRPr="00C75CA7">
        <w:rPr>
          <w:rFonts w:cs="Times New Roman"/>
        </w:rPr>
        <w:t>§</w:t>
      </w:r>
      <w:r>
        <w:rPr>
          <w:rFonts w:cs="Times New Roman"/>
        </w:rPr>
        <w:t xml:space="preserve"> 42.0101(d) </w:t>
      </w:r>
      <w:r>
        <w:rPr>
          <w:bCs/>
        </w:rPr>
        <w:t>because it 1) improperly subsidizes the costs for participating customers, stifling competition</w:t>
      </w:r>
      <w:r w:rsidR="008E39B6">
        <w:rPr>
          <w:bCs/>
        </w:rPr>
        <w:t>,</w:t>
      </w:r>
      <w:r>
        <w:rPr>
          <w:bCs/>
        </w:rPr>
        <w:t xml:space="preserve"> 2) is underspecified in terms of costs, such that it is not transparent</w:t>
      </w:r>
      <w:r w:rsidR="008E39B6">
        <w:rPr>
          <w:bCs/>
        </w:rPr>
        <w:t>,</w:t>
      </w:r>
      <w:r>
        <w:rPr>
          <w:bCs/>
        </w:rPr>
        <w:t xml:space="preserve"> and 3) does not provide rates that are based on cost causation principles.</w:t>
      </w:r>
      <w:r>
        <w:rPr>
          <w:rStyle w:val="FootnoteReference"/>
          <w:bCs/>
        </w:rPr>
        <w:footnoteReference w:id="28"/>
      </w:r>
      <w:r>
        <w:rPr>
          <w:bCs/>
        </w:rPr>
        <w:t xml:space="preserve"> </w:t>
      </w:r>
      <w:r w:rsidR="00D329D5">
        <w:rPr>
          <w:bCs/>
        </w:rPr>
        <w:t>As such</w:t>
      </w:r>
      <w:r>
        <w:rPr>
          <w:bCs/>
        </w:rPr>
        <w:t xml:space="preserve">, </w:t>
      </w:r>
      <w:r w:rsidR="00CA7EBD">
        <w:t>Staff</w:t>
      </w:r>
      <w:r w:rsidR="009C0D5B">
        <w:t xml:space="preserve"> </w:t>
      </w:r>
      <w:r>
        <w:t xml:space="preserve">specifically </w:t>
      </w:r>
      <w:r w:rsidR="00CA7EBD">
        <w:t>excepts to the ALJ’s findings that the TECI Rider 1) provides a sufficient cost recovery mechanism and does not result in cost-shifting to non-participating customer</w:t>
      </w:r>
      <w:r w:rsidR="009C0D5B">
        <w:t>, 2) does not impede competition, and 3) is not unreasonably preferential, prejudicial, or discriminatory.</w:t>
      </w:r>
      <w:r w:rsidR="009C0D5B">
        <w:rPr>
          <w:rStyle w:val="FootnoteReference"/>
        </w:rPr>
        <w:footnoteReference w:id="29"/>
      </w:r>
      <w:r w:rsidR="00B44F86">
        <w:t xml:space="preserve"> </w:t>
      </w:r>
    </w:p>
    <w:p w14:paraId="2E3206E9" w14:textId="77777777" w:rsidR="009C0D5B" w:rsidRDefault="009C0D5B" w:rsidP="0088304B">
      <w:pPr>
        <w:pStyle w:val="ListParagraph"/>
        <w:ind w:firstLine="720"/>
        <w:jc w:val="both"/>
      </w:pPr>
    </w:p>
    <w:p w14:paraId="5DDF49AE" w14:textId="297A9F88" w:rsidR="002740AB" w:rsidRDefault="00B77508" w:rsidP="00272523">
      <w:pPr>
        <w:pStyle w:val="ListParagraph"/>
        <w:numPr>
          <w:ilvl w:val="0"/>
          <w:numId w:val="10"/>
        </w:numPr>
        <w:ind w:left="1080"/>
      </w:pPr>
      <w:r>
        <w:t>Cost Recovery</w:t>
      </w:r>
    </w:p>
    <w:p w14:paraId="1EE45DD7" w14:textId="219A5516" w:rsidR="0088304B" w:rsidRDefault="009C0D5B" w:rsidP="005B72CB">
      <w:pPr>
        <w:pStyle w:val="ListParagraph"/>
        <w:ind w:firstLine="720"/>
        <w:jc w:val="both"/>
      </w:pPr>
      <w:r>
        <w:t xml:space="preserve">Based on ETI’s argument that participating customers are subject to both the TECI Rider and their applicable electric services tariff, the ALJ </w:t>
      </w:r>
      <w:r w:rsidR="00FA6139">
        <w:t xml:space="preserve">erroneously </w:t>
      </w:r>
      <w:r>
        <w:t>concluded that the cost recovery mechanism in the TECI Rider allows for the full recovery of the costs from the participating customer.</w:t>
      </w:r>
      <w:r>
        <w:rPr>
          <w:rStyle w:val="FootnoteReference"/>
        </w:rPr>
        <w:footnoteReference w:id="30"/>
      </w:r>
      <w:r>
        <w:t xml:space="preserve"> </w:t>
      </w:r>
      <w:r w:rsidR="00385F3D">
        <w:t xml:space="preserve">Staff </w:t>
      </w:r>
      <w:r w:rsidR="0094150B">
        <w:t xml:space="preserve">strongly </w:t>
      </w:r>
      <w:r w:rsidR="00385F3D">
        <w:t>disagrees with that assessment</w:t>
      </w:r>
      <w:r w:rsidR="0094150B">
        <w:t xml:space="preserve">, as the TECI rider and the examples provided by ETI clearly indicate that </w:t>
      </w:r>
      <w:r w:rsidR="0020279E">
        <w:t>TECI costs charged to customers will be offset by actual or projected base rate revenues</w:t>
      </w:r>
      <w:r w:rsidR="002A23AA">
        <w:t xml:space="preserve">, leaving </w:t>
      </w:r>
      <w:r w:rsidR="000D48F5">
        <w:t xml:space="preserve">either </w:t>
      </w:r>
      <w:r w:rsidR="002A23AA">
        <w:t xml:space="preserve">significant portions of actual TECI costs unrecovered </w:t>
      </w:r>
      <w:r w:rsidR="002A23AA">
        <w:lastRenderedPageBreak/>
        <w:t>from participating customers</w:t>
      </w:r>
      <w:r w:rsidR="000D48F5">
        <w:t xml:space="preserve">, or </w:t>
      </w:r>
      <w:r w:rsidR="0078148C">
        <w:t xml:space="preserve">significant portions of base rate costs unrecovered from </w:t>
      </w:r>
      <w:r w:rsidR="00B83E4F">
        <w:t>participating customers</w:t>
      </w:r>
      <w:r w:rsidR="00385F3D">
        <w:t xml:space="preserve">.   </w:t>
      </w:r>
      <w:r w:rsidR="00424A83">
        <w:t xml:space="preserve"> </w:t>
      </w:r>
    </w:p>
    <w:p w14:paraId="779022D1" w14:textId="443D6485" w:rsidR="00EA5F4C" w:rsidRDefault="00902D57" w:rsidP="0088304B">
      <w:pPr>
        <w:pStyle w:val="ListParagraph"/>
        <w:ind w:firstLine="720"/>
        <w:jc w:val="both"/>
      </w:pPr>
      <w:r>
        <w:t>Of primary importance, t</w:t>
      </w:r>
      <w:r w:rsidR="00EA5F4C">
        <w:t xml:space="preserve">he </w:t>
      </w:r>
      <w:r w:rsidR="008A0804">
        <w:t>ALJ</w:t>
      </w:r>
      <w:r>
        <w:t xml:space="preserve"> </w:t>
      </w:r>
      <w:r w:rsidR="00EA5F4C">
        <w:t>disregards that</w:t>
      </w:r>
      <w:r w:rsidR="00354B1C">
        <w:t>, on its face,</w:t>
      </w:r>
      <w:r w:rsidR="00EA5F4C">
        <w:t xml:space="preserve"> the TECI Rider </w:t>
      </w:r>
      <w:r w:rsidR="00E96610">
        <w:t xml:space="preserve">and its built-in offset for projected revenues </w:t>
      </w:r>
      <w:r w:rsidR="00EA5F4C">
        <w:t>do not ensure that the participating customers will recover all electric utility-related costs</w:t>
      </w:r>
      <w:r w:rsidR="00363A10">
        <w:t xml:space="preserve"> from TECI customers</w:t>
      </w:r>
      <w:r w:rsidR="00E96610">
        <w:t>.</w:t>
      </w:r>
      <w:r w:rsidR="00F008D8">
        <w:rPr>
          <w:rStyle w:val="FootnoteReference"/>
        </w:rPr>
        <w:footnoteReference w:id="31"/>
      </w:r>
      <w:r w:rsidR="00E96610">
        <w:t xml:space="preserve"> Specifically, </w:t>
      </w:r>
      <w:r w:rsidR="00363A10">
        <w:t>“</w:t>
      </w:r>
      <w:r w:rsidR="00E96610">
        <w:t>all electric utility-related costs</w:t>
      </w:r>
      <w:r w:rsidR="00363A10">
        <w:t>”</w:t>
      </w:r>
      <w:r w:rsidR="00E96610">
        <w:t xml:space="preserve"> </w:t>
      </w:r>
      <w:r w:rsidR="00EA5F4C">
        <w:t>include</w:t>
      </w:r>
      <w:r w:rsidR="00222F61">
        <w:t>s</w:t>
      </w:r>
      <w:r w:rsidR="00EA5F4C">
        <w:t xml:space="preserve"> both TECI-related costs, as well as costs associated with base rates and non-fuel firm rate schedules.</w:t>
      </w:r>
      <w:r w:rsidR="00EA5F4C">
        <w:rPr>
          <w:rStyle w:val="FootnoteReference"/>
        </w:rPr>
        <w:footnoteReference w:id="32"/>
      </w:r>
      <w:r w:rsidR="00EA5F4C">
        <w:t xml:space="preserve"> ETI</w:t>
      </w:r>
      <w:r w:rsidR="00707269">
        <w:t xml:space="preserve"> </w:t>
      </w:r>
      <w:r w:rsidR="00EA5F4C">
        <w:t>conten</w:t>
      </w:r>
      <w:r w:rsidR="00707269">
        <w:t>ds</w:t>
      </w:r>
      <w:r w:rsidR="00EA5F4C">
        <w:t xml:space="preserve"> that</w:t>
      </w:r>
      <w:r w:rsidR="00707269">
        <w:t xml:space="preserve">, by reading PURA </w:t>
      </w:r>
      <w:r w:rsidR="00707269" w:rsidRPr="00C75CA7">
        <w:rPr>
          <w:rFonts w:cs="Times New Roman"/>
        </w:rPr>
        <w:t>§</w:t>
      </w:r>
      <w:r w:rsidR="00707269">
        <w:rPr>
          <w:rFonts w:cs="Times New Roman"/>
        </w:rPr>
        <w:t xml:space="preserve"> 42.0103(o)(3) and (p)(2) together, </w:t>
      </w:r>
      <w:r w:rsidR="00EA5F4C">
        <w:t xml:space="preserve">all electric-utility related costs only include the costs of </w:t>
      </w:r>
      <w:r w:rsidR="00D70284">
        <w:t>“</w:t>
      </w:r>
      <w:r w:rsidR="00EA5F4C">
        <w:t>owning, constructing, financing, operating, maintaining</w:t>
      </w:r>
      <w:r w:rsidR="00707269">
        <w:t xml:space="preserve"> the public EV charging station</w:t>
      </w:r>
      <w:r w:rsidR="00D70284">
        <w:t>”</w:t>
      </w:r>
      <w:r w:rsidR="00707269">
        <w:t xml:space="preserve"> and that such statutory costs are to the exclusion of other types of costs that will be separately recovered through a customer’s payment of tariffed non-residential electricity rates.</w:t>
      </w:r>
      <w:r w:rsidR="00707269">
        <w:rPr>
          <w:rStyle w:val="FootnoteReference"/>
        </w:rPr>
        <w:footnoteReference w:id="33"/>
      </w:r>
      <w:r w:rsidR="00707269">
        <w:t xml:space="preserve"> </w:t>
      </w:r>
      <w:r w:rsidR="00F60FFC">
        <w:t xml:space="preserve">However, as discussed below, the </w:t>
      </w:r>
      <w:r w:rsidR="00331646">
        <w:t>base rate revenue offset under the TECI rider</w:t>
      </w:r>
      <w:r w:rsidR="0089736B">
        <w:t xml:space="preserve"> applies </w:t>
      </w:r>
      <w:r w:rsidR="003039E3">
        <w:t>the recovery of</w:t>
      </w:r>
      <w:r w:rsidR="00343B39">
        <w:t xml:space="preserve"> “other types of costs” against the recovery of </w:t>
      </w:r>
      <w:r w:rsidR="000B14BB">
        <w:t xml:space="preserve">the costs of </w:t>
      </w:r>
      <w:r w:rsidR="00701196">
        <w:t>“owning, constructing, financing, operating, maintaining the public EV charging station</w:t>
      </w:r>
      <w:r w:rsidR="00C1027D">
        <w:t>.</w:t>
      </w:r>
      <w:r w:rsidR="00701196">
        <w:t>”</w:t>
      </w:r>
      <w:r w:rsidR="00C1027D">
        <w:t xml:space="preserve"> </w:t>
      </w:r>
      <w:r w:rsidR="0081312C">
        <w:t>T</w:t>
      </w:r>
      <w:r w:rsidR="00D70284" w:rsidRPr="00D70284">
        <w:t>he requirement under PURA § 42.0103(p)(2) that the utility must only recover the costs of “owning, constructing, financing, or operating, and maintaining the public EV charging station” from the participating customer and not the utility’s other customers relates to the requirement under PURA § 42.</w:t>
      </w:r>
      <w:r w:rsidR="00B66950">
        <w:t>0103</w:t>
      </w:r>
      <w:r w:rsidR="00D70284" w:rsidRPr="00D70284">
        <w:t>(o)(3) that a tariff must provide for “full recovery of the costs of the public EV charging station” from the participating customer</w:t>
      </w:r>
      <w:r w:rsidR="00D70284">
        <w:t>,</w:t>
      </w:r>
      <w:r w:rsidR="00D70284">
        <w:rPr>
          <w:rStyle w:val="FootnoteReference"/>
        </w:rPr>
        <w:footnoteReference w:id="34"/>
      </w:r>
      <w:r w:rsidR="00D70284">
        <w:t xml:space="preserve"> such </w:t>
      </w:r>
      <w:r w:rsidR="00E42848">
        <w:t>that “all electric utility-related costs” is its own separate term that is broader than and encompasses the TECI-related costs. Importantly, the L</w:t>
      </w:r>
      <w:r w:rsidR="00E42848" w:rsidRPr="00E42848">
        <w:t>egislature would not have distinguished the two categories of costs for no reason, and it is contrary to the principles of statutory interpretation for ETI to equate the two.</w:t>
      </w:r>
      <w:r w:rsidR="00E42848">
        <w:rPr>
          <w:rStyle w:val="FootnoteReference"/>
        </w:rPr>
        <w:footnoteReference w:id="35"/>
      </w:r>
      <w:r w:rsidR="00E96610">
        <w:t xml:space="preserve"> </w:t>
      </w:r>
    </w:p>
    <w:p w14:paraId="28B4E5EE" w14:textId="539950CE" w:rsidR="00961D6D" w:rsidRDefault="00B66950" w:rsidP="00961D6D">
      <w:pPr>
        <w:pStyle w:val="ListParagraph"/>
        <w:ind w:firstLine="720"/>
        <w:jc w:val="both"/>
      </w:pPr>
      <w:r>
        <w:t xml:space="preserve">In terms of the revenue offset, ETI incorrectly and unreasonably </w:t>
      </w:r>
      <w:r w:rsidR="00774BCC">
        <w:t>argues</w:t>
      </w:r>
      <w:r>
        <w:t xml:space="preserve"> that </w:t>
      </w:r>
      <w:r w:rsidRPr="00D70284">
        <w:t>PURA §</w:t>
      </w:r>
      <w:r>
        <w:t> </w:t>
      </w:r>
      <w:r w:rsidRPr="00D70284">
        <w:t>42.</w:t>
      </w:r>
      <w:r>
        <w:t>0103(o)(3)</w:t>
      </w:r>
      <w:r w:rsidR="0018639E">
        <w:t>,</w:t>
      </w:r>
      <w:r>
        <w:t xml:space="preserve"> regarding incremental revenues</w:t>
      </w:r>
      <w:r w:rsidR="0018639E">
        <w:t>,</w:t>
      </w:r>
      <w:r>
        <w:t xml:space="preserve"> supports its approach to offset TECI costs in the manner i</w:t>
      </w:r>
      <w:r w:rsidR="0018639E">
        <w:t>t</w:t>
      </w:r>
      <w:r>
        <w:t xml:space="preserve"> has proposed.</w:t>
      </w:r>
      <w:r>
        <w:rPr>
          <w:rStyle w:val="FootnoteReference"/>
        </w:rPr>
        <w:footnoteReference w:id="36"/>
      </w:r>
      <w:r>
        <w:t xml:space="preserve"> Specifically, ETI fails to acknowledge that incremental revenues associated with EV charging service must ensure recovery of “all electric utility-related costs” and </w:t>
      </w:r>
      <w:r>
        <w:lastRenderedPageBreak/>
        <w:t>not just the costs of the public EV charging station.</w:t>
      </w:r>
      <w:r w:rsidR="00433584">
        <w:rPr>
          <w:rStyle w:val="FootnoteReference"/>
        </w:rPr>
        <w:footnoteReference w:id="37"/>
      </w:r>
      <w:r>
        <w:t xml:space="preserve"> In other words, the incremental base rate and non-fuel rider revenues must be applied to recover the corresponding base rate and non-fuel rider costs, and may not also be applied as an offset to the costs of the EV charging stations themselves, as ETI proposes</w:t>
      </w:r>
      <w:r w:rsidR="00715696">
        <w:t xml:space="preserve"> under the TECI Rider</w:t>
      </w:r>
      <w:r>
        <w:t>.</w:t>
      </w:r>
      <w:r w:rsidR="00433584">
        <w:rPr>
          <w:rStyle w:val="FootnoteReference"/>
        </w:rPr>
        <w:footnoteReference w:id="38"/>
      </w:r>
      <w:r>
        <w:t xml:space="preserve"> </w:t>
      </w:r>
    </w:p>
    <w:p w14:paraId="057FEFD8" w14:textId="77777777" w:rsidR="00466151" w:rsidRDefault="00961D6D" w:rsidP="00961D6D">
      <w:pPr>
        <w:pStyle w:val="ListParagraph"/>
        <w:ind w:firstLine="720"/>
        <w:jc w:val="both"/>
      </w:pPr>
      <w:r>
        <w:t>To further support that conclusion</w:t>
      </w:r>
      <w:r w:rsidR="00AF68EA">
        <w:t xml:space="preserve">, the TECI Rider </w:t>
      </w:r>
      <w:r w:rsidR="00AF68EA" w:rsidRPr="00BB278D">
        <w:t xml:space="preserve">conflicts with the statutory authorizations and financing orders behind </w:t>
      </w:r>
      <w:r w:rsidR="00AF68EA">
        <w:t>some of the riders that are included in the offsetting revenues</w:t>
      </w:r>
      <w:r w:rsidR="00AF68EA" w:rsidRPr="00BB278D">
        <w:t>.</w:t>
      </w:r>
      <w:r w:rsidR="00AF68EA">
        <w:rPr>
          <w:rStyle w:val="FootnoteReference"/>
        </w:rPr>
        <w:footnoteReference w:id="39"/>
      </w:r>
      <w:r w:rsidR="00AF68EA">
        <w:t xml:space="preserve"> Some of the riders include non-fuel firm rate schedule revenues and base rate cost recovery mechanisms, such as Rate Case Expenses, System Restoration Charges, Energy Efficiency Cost Recovery Factors (EECRF), Transmission Cost Recovery Factors (TCRF), Distribution Cost Recovery Factors (DCRF), Generation Cost Recovery Factors, among others.</w:t>
      </w:r>
      <w:r w:rsidR="00AF68EA">
        <w:rPr>
          <w:rStyle w:val="FootnoteReference"/>
        </w:rPr>
        <w:footnoteReference w:id="40"/>
      </w:r>
      <w:r w:rsidR="00AF68EA">
        <w:t xml:space="preserve"> </w:t>
      </w:r>
    </w:p>
    <w:p w14:paraId="29DB0241" w14:textId="71517121" w:rsidR="00AF68EA" w:rsidRDefault="00AF68EA" w:rsidP="00961D6D">
      <w:pPr>
        <w:pStyle w:val="ListParagraph"/>
        <w:ind w:firstLine="720"/>
        <w:jc w:val="both"/>
      </w:pPr>
      <w:r>
        <w:t xml:space="preserve">For ETI’s System Restoration Charges, </w:t>
      </w:r>
      <w:r w:rsidRPr="00BB278D">
        <w:t>the Financing Order in Docket No. 52302</w:t>
      </w:r>
      <w:r>
        <w:t xml:space="preserve"> </w:t>
      </w:r>
      <w:r w:rsidRPr="00BB278D">
        <w:t xml:space="preserve">requires that ETI, as the servicer for the system restoration bonds, “must remit collections of the system restoration charges to </w:t>
      </w:r>
      <w:proofErr w:type="spellStart"/>
      <w:r w:rsidRPr="00BB278D">
        <w:t>BondCo</w:t>
      </w:r>
      <w:proofErr w:type="spellEnd"/>
      <w:r w:rsidRPr="00BB278D">
        <w:t xml:space="preserve"> or the indenture trustee for </w:t>
      </w:r>
      <w:proofErr w:type="spellStart"/>
      <w:r w:rsidRPr="00BB278D">
        <w:t>BondCo’s</w:t>
      </w:r>
      <w:proofErr w:type="spellEnd"/>
      <w:r w:rsidRPr="00BB278D">
        <w:t xml:space="preserve"> account in accordance with the terms of the servicing agreement.”</w:t>
      </w:r>
      <w:r>
        <w:rPr>
          <w:rStyle w:val="FootnoteReference"/>
        </w:rPr>
        <w:footnoteReference w:id="41"/>
      </w:r>
      <w:r>
        <w:t xml:space="preserve"> </w:t>
      </w:r>
      <w:r w:rsidRPr="00BB278D">
        <w:t>By Commission order, these funds may not be used for any other purpose, such as paying for TECI costs</w:t>
      </w:r>
      <w:r>
        <w:t>,</w:t>
      </w:r>
      <w:r w:rsidRPr="00BB278D">
        <w:t xml:space="preserve"> as ETI has proposed.</w:t>
      </w:r>
      <w:r>
        <w:rPr>
          <w:rStyle w:val="FootnoteReference"/>
        </w:rPr>
        <w:footnoteReference w:id="42"/>
      </w:r>
      <w:r>
        <w:t xml:space="preserve"> In addition, </w:t>
      </w:r>
      <w:r w:rsidRPr="00BB278D">
        <w:t xml:space="preserve">PURA </w:t>
      </w:r>
      <w:r w:rsidRPr="00FE11BB">
        <w:t>§</w:t>
      </w:r>
      <w:r>
        <w:t xml:space="preserve"> </w:t>
      </w:r>
      <w:r w:rsidRPr="00BB278D">
        <w:t>36.209, authoriz</w:t>
      </w:r>
      <w:r>
        <w:t>ing</w:t>
      </w:r>
      <w:r w:rsidRPr="00BB278D">
        <w:t xml:space="preserve"> </w:t>
      </w:r>
      <w:r>
        <w:t xml:space="preserve">the </w:t>
      </w:r>
      <w:r w:rsidRPr="00BB278D">
        <w:t>TCRF</w:t>
      </w:r>
      <w:r>
        <w:t>,</w:t>
      </w:r>
      <w:r w:rsidRPr="00BB278D">
        <w:t xml:space="preserve"> limits cost recovery under that rider to certain “reasonably and necessary expenditures for transmission infrastructure improvement costs and changes in wholesale transmission charges to the electric utility</w:t>
      </w:r>
      <w:r>
        <w:t>.</w:t>
      </w:r>
      <w:r w:rsidRPr="00BB278D">
        <w:t>”</w:t>
      </w:r>
      <w:r>
        <w:rPr>
          <w:rStyle w:val="FootnoteReference"/>
        </w:rPr>
        <w:footnoteReference w:id="43"/>
      </w:r>
      <w:r w:rsidRPr="00BB278D">
        <w:t xml:space="preserve"> TECI costs do not fall into this category, and applying TCRF revenues against TECI costs is inappropriate.</w:t>
      </w:r>
      <w:r>
        <w:rPr>
          <w:rStyle w:val="FootnoteReference"/>
        </w:rPr>
        <w:footnoteReference w:id="44"/>
      </w:r>
      <w:r>
        <w:t xml:space="preserve"> Further, </w:t>
      </w:r>
      <w:r w:rsidRPr="00BB278D">
        <w:t xml:space="preserve">PURA </w:t>
      </w:r>
      <w:r w:rsidRPr="00FE11BB">
        <w:t>§</w:t>
      </w:r>
      <w:r>
        <w:t xml:space="preserve"> </w:t>
      </w:r>
      <w:r w:rsidRPr="00BB278D">
        <w:t>39.905(b)</w:t>
      </w:r>
      <w:r>
        <w:t>(</w:t>
      </w:r>
      <w:r w:rsidRPr="00BB278D">
        <w:t xml:space="preserve">1), authorizing the EECRF “for ensuring timely and reasonable cost recovery for utility expenditures made to satisfy the goals of </w:t>
      </w:r>
      <w:r>
        <w:t xml:space="preserve">[PURA </w:t>
      </w:r>
      <w:r w:rsidRPr="00FE11BB">
        <w:t>§</w:t>
      </w:r>
      <w:r>
        <w:t xml:space="preserve"> 39.905]</w:t>
      </w:r>
      <w:r w:rsidRPr="00BB278D">
        <w:t xml:space="preserve">,” does not allow EECRF revenues to be applied towards TECI costs, as ETI </w:t>
      </w:r>
      <w:r>
        <w:t xml:space="preserve">has </w:t>
      </w:r>
      <w:r w:rsidRPr="00BB278D">
        <w:t>propose</w:t>
      </w:r>
      <w:r>
        <w:t>d</w:t>
      </w:r>
      <w:r w:rsidRPr="00BB278D">
        <w:t>.</w:t>
      </w:r>
      <w:r>
        <w:rPr>
          <w:rStyle w:val="FootnoteReference"/>
        </w:rPr>
        <w:footnoteReference w:id="45"/>
      </w:r>
      <w:r>
        <w:t xml:space="preserve"> Lastly, PURA </w:t>
      </w:r>
      <w:r w:rsidRPr="00A95698">
        <w:t>§</w:t>
      </w:r>
      <w:r>
        <w:t xml:space="preserve"> 36.210(a)(2), as codified in 16 TAC </w:t>
      </w:r>
      <w:r>
        <w:lastRenderedPageBreak/>
        <w:t>§ 25.243, authorizing the DCRF, requires that incremental distribution base rate revenues be offset against incremental distribution costs.</w:t>
      </w:r>
      <w:r>
        <w:rPr>
          <w:rStyle w:val="FootnoteReference"/>
        </w:rPr>
        <w:footnoteReference w:id="46"/>
      </w:r>
      <w:r>
        <w:t xml:space="preserve"> These inexhaustive examples demonstrate that the proposed TECI Rider</w:t>
      </w:r>
      <w:r w:rsidR="00B83E4F">
        <w:t>, by applying these increment</w:t>
      </w:r>
      <w:r w:rsidR="002E56E1">
        <w:t>al base rate revenues against TECI costs,</w:t>
      </w:r>
      <w:r>
        <w:t xml:space="preserve"> does not comply with applicable requirements of PURA, as well as Commission rules and orders.</w:t>
      </w:r>
      <w:r>
        <w:rPr>
          <w:rStyle w:val="FootnoteReference"/>
        </w:rPr>
        <w:footnoteReference w:id="47"/>
      </w:r>
    </w:p>
    <w:p w14:paraId="5F28569E" w14:textId="28AA7FE0" w:rsidR="00B66950" w:rsidRDefault="006257FB" w:rsidP="00B66950">
      <w:pPr>
        <w:pStyle w:val="ListParagraph"/>
        <w:ind w:firstLine="720"/>
        <w:jc w:val="both"/>
      </w:pPr>
      <w:r>
        <w:t xml:space="preserve">Ultimately, </w:t>
      </w:r>
      <w:r w:rsidR="00B66950">
        <w:t>ETI’s approach under the TECI Rider would double-count these incremental revenues by applying these same incremental distribution base rate revenues against both incremental distribution costs and EV charging station costs.</w:t>
      </w:r>
      <w:r w:rsidR="00433584">
        <w:rPr>
          <w:rStyle w:val="FootnoteReference"/>
        </w:rPr>
        <w:footnoteReference w:id="48"/>
      </w:r>
      <w:r w:rsidR="00B66950">
        <w:t xml:space="preserve"> The same dollar of incremental base rate revenue cannot reasonably be applied to offset both a dollar of incremental distribution costs and a dollar of EV charging station costs, as ETI proposes.</w:t>
      </w:r>
      <w:r w:rsidR="00433584">
        <w:rPr>
          <w:rStyle w:val="FootnoteReference"/>
        </w:rPr>
        <w:footnoteReference w:id="49"/>
      </w:r>
      <w:r w:rsidR="00E90648">
        <w:t xml:space="preserve"> </w:t>
      </w:r>
    </w:p>
    <w:p w14:paraId="717B442A" w14:textId="4E9D3A10" w:rsidR="0018639E" w:rsidRDefault="0018639E" w:rsidP="0018639E">
      <w:pPr>
        <w:pStyle w:val="ListParagraph"/>
        <w:ind w:firstLine="720"/>
        <w:jc w:val="both"/>
      </w:pPr>
      <w:r>
        <w:t>Accordingly, a finding that “all electric utility-related costs” include both TECI-related costs, as well costs associated with base rates and non-fuel firm rate schedules</w:t>
      </w:r>
      <w:r w:rsidR="00F03D67">
        <w:t>,</w:t>
      </w:r>
      <w:r>
        <w:t xml:space="preserve"> would also comport with cost causation principles and 16 TAC </w:t>
      </w:r>
      <w:r>
        <w:rPr>
          <w:rFonts w:cs="Times New Roman"/>
        </w:rPr>
        <w:t>§</w:t>
      </w:r>
      <w:r>
        <w:t xml:space="preserve"> 25.234(a).</w:t>
      </w:r>
      <w:r>
        <w:rPr>
          <w:rStyle w:val="FootnoteReference"/>
        </w:rPr>
        <w:footnoteReference w:id="50"/>
      </w:r>
      <w:r>
        <w:t xml:space="preserve"> With that finding, based on the fact that the TECI Rider includes an offset for projected or actual base rate and non-fuel firm rate schedule revenues against TECI costs, participating customers will thus fail to pay for all electric utility-related costs.</w:t>
      </w:r>
      <w:r>
        <w:rPr>
          <w:rStyle w:val="FootnoteReference"/>
        </w:rPr>
        <w:footnoteReference w:id="51"/>
      </w:r>
      <w:r>
        <w:t xml:space="preserve"> Further, as discussed above, ETI will thus be double-counting such revenues, which is unreasonable and demonstrates that the TECI Rider is not based on cost causation principles.</w:t>
      </w:r>
      <w:r>
        <w:rPr>
          <w:rStyle w:val="FootnoteReference"/>
        </w:rPr>
        <w:footnoteReference w:id="52"/>
      </w:r>
      <w:r>
        <w:t xml:space="preserve"> </w:t>
      </w:r>
      <w:r w:rsidR="007646E1">
        <w:t>Lastly</w:t>
      </w:r>
      <w:r>
        <w:t>, these base rate-related costs included in ETI’s proposed revenue offset would far exceed the costs of any relevant make-ready infrastructure, because the base rates and non-fuel riders include all of ETI’s system costs, including those for generation, transmission, and distribution.</w:t>
      </w:r>
      <w:r>
        <w:rPr>
          <w:rStyle w:val="FootnoteReference"/>
        </w:rPr>
        <w:footnoteReference w:id="53"/>
      </w:r>
    </w:p>
    <w:p w14:paraId="7C63424C" w14:textId="2E69B77C" w:rsidR="00653C99" w:rsidRDefault="0090761A" w:rsidP="00653C99">
      <w:pPr>
        <w:pStyle w:val="ListParagraph"/>
        <w:ind w:firstLine="720"/>
        <w:jc w:val="both"/>
        <w:rPr>
          <w:rFonts w:cs="Times New Roman"/>
        </w:rPr>
      </w:pPr>
      <w:r>
        <w:t>In addition to the projected revenues offset in the TECI Rider, ETI asserted that it will also offset monthly payments collected under the TECI Rider against ETI’s overall revenue requirement.</w:t>
      </w:r>
      <w:r>
        <w:rPr>
          <w:rStyle w:val="FootnoteReference"/>
        </w:rPr>
        <w:footnoteReference w:id="54"/>
      </w:r>
      <w:r>
        <w:t xml:space="preserve"> Because the </w:t>
      </w:r>
      <w:r w:rsidR="000F3B9E">
        <w:t xml:space="preserve">projected revenues offset will cause the </w:t>
      </w:r>
      <w:r>
        <w:t xml:space="preserve">TECI Rider to </w:t>
      </w:r>
      <w:r w:rsidR="000F3B9E">
        <w:t xml:space="preserve">not </w:t>
      </w:r>
      <w:r>
        <w:t xml:space="preserve">fully recover TECI costs, non-participating customers will certainly and unreasonably end up paying for some </w:t>
      </w:r>
      <w:r>
        <w:lastRenderedPageBreak/>
        <w:t xml:space="preserve">of the TECI costs </w:t>
      </w:r>
      <w:r w:rsidR="00404FF6">
        <w:t xml:space="preserve">based on ETI’s intention to offset the net monthly payments collected under the TECI Rider </w:t>
      </w:r>
      <w:r w:rsidR="000F3B9E">
        <w:t xml:space="preserve">(which may be zero for some customers due to the projected revenues offset) </w:t>
      </w:r>
      <w:r w:rsidR="00404FF6">
        <w:t xml:space="preserve">against ETI’s overall revenue requirement, leaving the unrecovered costs in rates applicable to non-participating customers in violation of PURA </w:t>
      </w:r>
      <w:r w:rsidR="00404FF6" w:rsidRPr="00C75CA7">
        <w:rPr>
          <w:rFonts w:cs="Times New Roman"/>
        </w:rPr>
        <w:t>§</w:t>
      </w:r>
      <w:r w:rsidR="00404FF6">
        <w:rPr>
          <w:rFonts w:cs="Times New Roman"/>
        </w:rPr>
        <w:t xml:space="preserve"> 42.0103(o)(3) and (p)(2).</w:t>
      </w:r>
      <w:r w:rsidR="000F3B9E">
        <w:rPr>
          <w:rStyle w:val="FootnoteReference"/>
          <w:rFonts w:cs="Times New Roman"/>
        </w:rPr>
        <w:footnoteReference w:id="55"/>
      </w:r>
      <w:r w:rsidR="00653C99">
        <w:rPr>
          <w:rFonts w:cs="Times New Roman"/>
        </w:rPr>
        <w:t xml:space="preserve"> </w:t>
      </w:r>
      <w:r w:rsidR="00D058EC">
        <w:rPr>
          <w:rFonts w:cs="Times New Roman"/>
        </w:rPr>
        <w:t xml:space="preserve">Furthermore, </w:t>
      </w:r>
      <w:r w:rsidR="00D70D63">
        <w:rPr>
          <w:rFonts w:cs="Times New Roman"/>
        </w:rPr>
        <w:t>ETI admits that a non-participating customer who installs the same exact EV charging equipment at the same exact cost may have to pay the full costs, whereas a participating customer would benefit from the revenue offset</w:t>
      </w:r>
      <w:r w:rsidR="00EB372F">
        <w:rPr>
          <w:rFonts w:cs="Times New Roman"/>
        </w:rPr>
        <w:t>, resulting in significant subsidies for the participating customer and discriminatory treatment to the identical non-participating customer.</w:t>
      </w:r>
      <w:r w:rsidR="00EB372F">
        <w:rPr>
          <w:rStyle w:val="FootnoteReference"/>
          <w:rFonts w:cs="Times New Roman"/>
        </w:rPr>
        <w:footnoteReference w:id="56"/>
      </w:r>
      <w:r w:rsidR="00DF0587">
        <w:rPr>
          <w:rFonts w:cs="Times New Roman"/>
        </w:rPr>
        <w:t xml:space="preserve"> Such </w:t>
      </w:r>
      <w:r w:rsidR="00C50B27">
        <w:rPr>
          <w:rFonts w:cs="Times New Roman"/>
        </w:rPr>
        <w:t xml:space="preserve">significant </w:t>
      </w:r>
      <w:r w:rsidR="00DF0587">
        <w:rPr>
          <w:rFonts w:cs="Times New Roman"/>
        </w:rPr>
        <w:t>subsidization and discriminatory treatment are demonstrated in the table below.</w:t>
      </w:r>
    </w:p>
    <w:p w14:paraId="0B50A068" w14:textId="77777777" w:rsidR="00C50B27" w:rsidRDefault="00C50B27" w:rsidP="00653C99">
      <w:pPr>
        <w:pStyle w:val="ListParagraph"/>
        <w:ind w:firstLine="720"/>
        <w:jc w:val="both"/>
        <w:rPr>
          <w:rFonts w:cs="Times New Roman"/>
        </w:rPr>
      </w:pPr>
    </w:p>
    <w:tbl>
      <w:tblPr>
        <w:tblStyle w:val="TableGrid2"/>
        <w:tblW w:w="0" w:type="auto"/>
        <w:jc w:val="center"/>
        <w:tblLook w:val="04A0" w:firstRow="1" w:lastRow="0" w:firstColumn="1" w:lastColumn="0" w:noHBand="0" w:noVBand="1"/>
      </w:tblPr>
      <w:tblGrid>
        <w:gridCol w:w="2810"/>
        <w:gridCol w:w="1384"/>
        <w:gridCol w:w="1471"/>
        <w:gridCol w:w="1530"/>
      </w:tblGrid>
      <w:tr w:rsidR="00C50B27" w:rsidRPr="00B36AF4" w14:paraId="26C16ACA" w14:textId="77777777" w:rsidTr="00F922AA">
        <w:trPr>
          <w:jc w:val="center"/>
        </w:trPr>
        <w:tc>
          <w:tcPr>
            <w:tcW w:w="2810" w:type="dxa"/>
          </w:tcPr>
          <w:p w14:paraId="6AE11F65" w14:textId="77777777" w:rsidR="00C50B27" w:rsidRPr="00BF56CA" w:rsidRDefault="00C50B27" w:rsidP="00F922AA">
            <w:pPr>
              <w:keepNext w:val="0"/>
              <w:spacing w:after="0" w:line="240" w:lineRule="auto"/>
              <w:ind w:firstLine="0"/>
              <w:outlineLvl w:val="9"/>
              <w:rPr>
                <w:rFonts w:ascii="Times New Roman" w:hAnsi="Times New Roman" w:cs="Times New Roman"/>
              </w:rPr>
            </w:pPr>
          </w:p>
        </w:tc>
        <w:tc>
          <w:tcPr>
            <w:tcW w:w="1384" w:type="dxa"/>
          </w:tcPr>
          <w:p w14:paraId="597E6392" w14:textId="77777777" w:rsidR="00C50B27" w:rsidRPr="00B36AF4" w:rsidRDefault="00C50B27" w:rsidP="00F922AA">
            <w:pPr>
              <w:keepNext w:val="0"/>
              <w:spacing w:after="0" w:line="240" w:lineRule="auto"/>
              <w:ind w:firstLine="0"/>
              <w:jc w:val="center"/>
              <w:outlineLvl w:val="9"/>
              <w:rPr>
                <w:rFonts w:ascii="Times New Roman" w:hAnsi="Times New Roman" w:cs="Times New Roman"/>
                <w:b/>
                <w:sz w:val="20"/>
                <w:szCs w:val="20"/>
                <w:u w:val="single"/>
              </w:rPr>
            </w:pPr>
            <w:r w:rsidRPr="00B36AF4">
              <w:rPr>
                <w:rFonts w:ascii="Times New Roman" w:hAnsi="Times New Roman" w:cs="Times New Roman"/>
                <w:b/>
                <w:sz w:val="20"/>
                <w:szCs w:val="20"/>
                <w:u w:val="single"/>
              </w:rPr>
              <w:t>Example 1</w:t>
            </w:r>
          </w:p>
        </w:tc>
        <w:tc>
          <w:tcPr>
            <w:tcW w:w="1471" w:type="dxa"/>
          </w:tcPr>
          <w:p w14:paraId="60BEB7DF"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b/>
                <w:sz w:val="20"/>
                <w:szCs w:val="20"/>
                <w:u w:val="single"/>
              </w:rPr>
              <w:t>Example 2</w:t>
            </w:r>
          </w:p>
        </w:tc>
        <w:tc>
          <w:tcPr>
            <w:tcW w:w="1530" w:type="dxa"/>
          </w:tcPr>
          <w:p w14:paraId="0FA0CC11"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b/>
                <w:sz w:val="20"/>
                <w:szCs w:val="20"/>
                <w:u w:val="single"/>
              </w:rPr>
              <w:t>Example 3</w:t>
            </w:r>
          </w:p>
        </w:tc>
      </w:tr>
      <w:tr w:rsidR="00C50B27" w:rsidRPr="00B36AF4" w14:paraId="10DF3DB7" w14:textId="77777777" w:rsidTr="00F922AA">
        <w:trPr>
          <w:jc w:val="center"/>
        </w:trPr>
        <w:tc>
          <w:tcPr>
            <w:tcW w:w="2810" w:type="dxa"/>
          </w:tcPr>
          <w:p w14:paraId="652A8D37" w14:textId="77777777" w:rsidR="00C50B27" w:rsidRPr="00BF56CA" w:rsidRDefault="00C50B27" w:rsidP="00F922AA">
            <w:pPr>
              <w:keepNext w:val="0"/>
              <w:spacing w:after="0" w:line="240" w:lineRule="auto"/>
              <w:ind w:firstLine="0"/>
              <w:outlineLvl w:val="9"/>
              <w:rPr>
                <w:rFonts w:ascii="Times New Roman" w:hAnsi="Times New Roman" w:cs="Times New Roman"/>
              </w:rPr>
            </w:pPr>
          </w:p>
        </w:tc>
        <w:tc>
          <w:tcPr>
            <w:tcW w:w="1384" w:type="dxa"/>
          </w:tcPr>
          <w:p w14:paraId="2C785BE9" w14:textId="77777777" w:rsidR="00C50B27" w:rsidRPr="00B36AF4" w:rsidRDefault="00C50B27" w:rsidP="00F922AA">
            <w:pPr>
              <w:keepNext w:val="0"/>
              <w:spacing w:after="0" w:line="240" w:lineRule="auto"/>
              <w:ind w:firstLine="0"/>
              <w:jc w:val="center"/>
              <w:outlineLvl w:val="9"/>
              <w:rPr>
                <w:rFonts w:ascii="Times New Roman" w:hAnsi="Times New Roman" w:cs="Times New Roman"/>
                <w:b/>
                <w:sz w:val="20"/>
                <w:szCs w:val="20"/>
                <w:u w:val="single"/>
              </w:rPr>
            </w:pPr>
            <w:r w:rsidRPr="00B36AF4">
              <w:rPr>
                <w:rFonts w:ascii="Times New Roman" w:hAnsi="Times New Roman" w:cs="Times New Roman"/>
                <w:b/>
                <w:sz w:val="20"/>
                <w:szCs w:val="20"/>
                <w:u w:val="single"/>
              </w:rPr>
              <w:t>SFH-SR-1 (Page 2 of 7)</w:t>
            </w:r>
          </w:p>
        </w:tc>
        <w:tc>
          <w:tcPr>
            <w:tcW w:w="1471" w:type="dxa"/>
          </w:tcPr>
          <w:p w14:paraId="206AC6D3"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b/>
                <w:sz w:val="20"/>
                <w:szCs w:val="20"/>
                <w:u w:val="single"/>
              </w:rPr>
              <w:t>SFH-SR-1 (Page 4 of 7)</w:t>
            </w:r>
          </w:p>
        </w:tc>
        <w:tc>
          <w:tcPr>
            <w:tcW w:w="1530" w:type="dxa"/>
          </w:tcPr>
          <w:p w14:paraId="3B5A4393"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b/>
                <w:sz w:val="20"/>
                <w:szCs w:val="20"/>
                <w:u w:val="single"/>
              </w:rPr>
              <w:t>SFH-SR-1 (Page 6 of 7)</w:t>
            </w:r>
          </w:p>
        </w:tc>
      </w:tr>
      <w:tr w:rsidR="00C50B27" w:rsidRPr="00B36AF4" w14:paraId="06A08273" w14:textId="77777777" w:rsidTr="00F922AA">
        <w:trPr>
          <w:jc w:val="center"/>
        </w:trPr>
        <w:tc>
          <w:tcPr>
            <w:tcW w:w="2810" w:type="dxa"/>
          </w:tcPr>
          <w:p w14:paraId="5F4F4AC1" w14:textId="77777777" w:rsidR="00C50B27" w:rsidRPr="00BF56CA" w:rsidRDefault="00C50B27" w:rsidP="00F922AA">
            <w:pPr>
              <w:keepNext w:val="0"/>
              <w:spacing w:after="0" w:line="240" w:lineRule="auto"/>
              <w:ind w:firstLine="0"/>
              <w:outlineLvl w:val="9"/>
              <w:rPr>
                <w:rFonts w:ascii="Times New Roman" w:hAnsi="Times New Roman" w:cs="Times New Roman"/>
              </w:rPr>
            </w:pPr>
            <w:r w:rsidRPr="00BF56CA">
              <w:rPr>
                <w:rFonts w:ascii="Times New Roman" w:hAnsi="Times New Roman" w:cs="Times New Roman"/>
              </w:rPr>
              <w:t>Total TECI Costs</w:t>
            </w:r>
          </w:p>
        </w:tc>
        <w:tc>
          <w:tcPr>
            <w:tcW w:w="1384" w:type="dxa"/>
            <w:vAlign w:val="center"/>
          </w:tcPr>
          <w:p w14:paraId="7FF3AD91"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$200,971</w:t>
            </w:r>
          </w:p>
        </w:tc>
        <w:tc>
          <w:tcPr>
            <w:tcW w:w="1471" w:type="dxa"/>
            <w:vAlign w:val="center"/>
          </w:tcPr>
          <w:p w14:paraId="4256A39D"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$111,210</w:t>
            </w:r>
          </w:p>
        </w:tc>
        <w:tc>
          <w:tcPr>
            <w:tcW w:w="1530" w:type="dxa"/>
            <w:vAlign w:val="center"/>
          </w:tcPr>
          <w:p w14:paraId="10CF9554"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$29,418</w:t>
            </w:r>
          </w:p>
        </w:tc>
      </w:tr>
      <w:tr w:rsidR="00C50B27" w:rsidRPr="00B36AF4" w14:paraId="0A1D57DF" w14:textId="77777777" w:rsidTr="00F922AA">
        <w:trPr>
          <w:jc w:val="center"/>
        </w:trPr>
        <w:tc>
          <w:tcPr>
            <w:tcW w:w="2810" w:type="dxa"/>
          </w:tcPr>
          <w:p w14:paraId="56B91B77" w14:textId="77777777" w:rsidR="00C50B27" w:rsidRPr="00BF56CA" w:rsidRDefault="00C50B27" w:rsidP="00F922AA">
            <w:pPr>
              <w:keepNext w:val="0"/>
              <w:spacing w:after="0" w:line="240" w:lineRule="auto"/>
              <w:ind w:firstLine="0"/>
              <w:outlineLvl w:val="9"/>
              <w:rPr>
                <w:rFonts w:ascii="Times New Roman" w:hAnsi="Times New Roman" w:cs="Times New Roman"/>
              </w:rPr>
            </w:pPr>
            <w:r w:rsidRPr="00BF56CA">
              <w:rPr>
                <w:rFonts w:ascii="Times New Roman" w:hAnsi="Times New Roman" w:cs="Times New Roman"/>
              </w:rPr>
              <w:t>Total Paid By TECI Rider Customer</w:t>
            </w:r>
          </w:p>
        </w:tc>
        <w:tc>
          <w:tcPr>
            <w:tcW w:w="1384" w:type="dxa"/>
            <w:vAlign w:val="center"/>
          </w:tcPr>
          <w:p w14:paraId="165F8C15"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$115,075</w:t>
            </w:r>
          </w:p>
        </w:tc>
        <w:tc>
          <w:tcPr>
            <w:tcW w:w="1471" w:type="dxa"/>
            <w:vAlign w:val="center"/>
          </w:tcPr>
          <w:p w14:paraId="6A8DD206"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$68,361</w:t>
            </w:r>
          </w:p>
        </w:tc>
        <w:tc>
          <w:tcPr>
            <w:tcW w:w="1530" w:type="dxa"/>
            <w:vAlign w:val="center"/>
          </w:tcPr>
          <w:p w14:paraId="5DBF2C8F"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$4,500</w:t>
            </w:r>
          </w:p>
        </w:tc>
      </w:tr>
      <w:tr w:rsidR="00C50B27" w:rsidRPr="00B36AF4" w14:paraId="609619F0" w14:textId="77777777" w:rsidTr="00F922AA">
        <w:trPr>
          <w:jc w:val="center"/>
        </w:trPr>
        <w:tc>
          <w:tcPr>
            <w:tcW w:w="2810" w:type="dxa"/>
          </w:tcPr>
          <w:p w14:paraId="22C0CB66" w14:textId="77777777" w:rsidR="00C50B27" w:rsidRPr="00BF56CA" w:rsidRDefault="00C50B27" w:rsidP="00F922AA">
            <w:pPr>
              <w:keepNext w:val="0"/>
              <w:spacing w:after="0" w:line="240" w:lineRule="auto"/>
              <w:ind w:firstLine="0"/>
              <w:outlineLvl w:val="9"/>
              <w:rPr>
                <w:rFonts w:ascii="Times New Roman" w:hAnsi="Times New Roman" w:cs="Times New Roman"/>
              </w:rPr>
            </w:pPr>
            <w:r w:rsidRPr="00BF56CA">
              <w:rPr>
                <w:rFonts w:ascii="Times New Roman" w:hAnsi="Times New Roman" w:cs="Times New Roman"/>
              </w:rPr>
              <w:t>Total Paid by non-TECI Rider Customer</w:t>
            </w:r>
          </w:p>
        </w:tc>
        <w:tc>
          <w:tcPr>
            <w:tcW w:w="1384" w:type="dxa"/>
            <w:vAlign w:val="center"/>
          </w:tcPr>
          <w:p w14:paraId="5947C32C"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$200,971</w:t>
            </w:r>
          </w:p>
        </w:tc>
        <w:tc>
          <w:tcPr>
            <w:tcW w:w="1471" w:type="dxa"/>
            <w:vAlign w:val="center"/>
          </w:tcPr>
          <w:p w14:paraId="311754E3"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$111,210</w:t>
            </w:r>
          </w:p>
        </w:tc>
        <w:tc>
          <w:tcPr>
            <w:tcW w:w="1530" w:type="dxa"/>
            <w:vAlign w:val="center"/>
          </w:tcPr>
          <w:p w14:paraId="67206380"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$29,418</w:t>
            </w:r>
          </w:p>
        </w:tc>
      </w:tr>
      <w:tr w:rsidR="00C50B27" w:rsidRPr="00B36AF4" w14:paraId="79AE0455" w14:textId="77777777" w:rsidTr="00F922AA">
        <w:trPr>
          <w:jc w:val="center"/>
        </w:trPr>
        <w:tc>
          <w:tcPr>
            <w:tcW w:w="2810" w:type="dxa"/>
          </w:tcPr>
          <w:p w14:paraId="796DF05D" w14:textId="77777777" w:rsidR="00C50B27" w:rsidRPr="00BF56CA" w:rsidRDefault="00C50B27" w:rsidP="00F922AA">
            <w:pPr>
              <w:keepNext w:val="0"/>
              <w:spacing w:after="0" w:line="240" w:lineRule="auto"/>
              <w:ind w:firstLine="0"/>
              <w:outlineLvl w:val="9"/>
              <w:rPr>
                <w:rFonts w:ascii="Times New Roman" w:hAnsi="Times New Roman" w:cs="Times New Roman"/>
              </w:rPr>
            </w:pPr>
            <w:r w:rsidRPr="00BF56CA">
              <w:rPr>
                <w:rFonts w:ascii="Times New Roman" w:hAnsi="Times New Roman" w:cs="Times New Roman"/>
              </w:rPr>
              <w:t>Rider TECI Subsidy / Penalty for non-participation</w:t>
            </w:r>
          </w:p>
        </w:tc>
        <w:tc>
          <w:tcPr>
            <w:tcW w:w="1384" w:type="dxa"/>
            <w:vAlign w:val="center"/>
          </w:tcPr>
          <w:p w14:paraId="09AB1A5F"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$85,896</w:t>
            </w:r>
          </w:p>
        </w:tc>
        <w:tc>
          <w:tcPr>
            <w:tcW w:w="1471" w:type="dxa"/>
            <w:vAlign w:val="center"/>
          </w:tcPr>
          <w:p w14:paraId="041F6849"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$42,849</w:t>
            </w:r>
          </w:p>
        </w:tc>
        <w:tc>
          <w:tcPr>
            <w:tcW w:w="1530" w:type="dxa"/>
            <w:vAlign w:val="center"/>
          </w:tcPr>
          <w:p w14:paraId="43F06DB8"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$24,918</w:t>
            </w:r>
          </w:p>
        </w:tc>
      </w:tr>
      <w:tr w:rsidR="00C50B27" w:rsidRPr="00B36AF4" w14:paraId="046507B4" w14:textId="77777777" w:rsidTr="00F922AA">
        <w:trPr>
          <w:jc w:val="center"/>
        </w:trPr>
        <w:tc>
          <w:tcPr>
            <w:tcW w:w="2810" w:type="dxa"/>
          </w:tcPr>
          <w:p w14:paraId="23E91E93" w14:textId="77777777" w:rsidR="00C50B27" w:rsidRPr="00BF56CA" w:rsidRDefault="00C50B27" w:rsidP="00F922AA">
            <w:pPr>
              <w:keepNext w:val="0"/>
              <w:spacing w:after="0" w:line="240" w:lineRule="auto"/>
              <w:ind w:firstLine="0"/>
              <w:outlineLvl w:val="9"/>
              <w:rPr>
                <w:rFonts w:ascii="Times New Roman" w:hAnsi="Times New Roman" w:cs="Times New Roman"/>
              </w:rPr>
            </w:pPr>
            <w:r w:rsidRPr="00BF56CA">
              <w:rPr>
                <w:rFonts w:ascii="Times New Roman" w:hAnsi="Times New Roman" w:cs="Times New Roman"/>
              </w:rPr>
              <w:t>Rider TECI Subsidy %</w:t>
            </w:r>
          </w:p>
        </w:tc>
        <w:tc>
          <w:tcPr>
            <w:tcW w:w="1384" w:type="dxa"/>
            <w:vAlign w:val="center"/>
          </w:tcPr>
          <w:p w14:paraId="4146C43F"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42.7%</w:t>
            </w:r>
          </w:p>
        </w:tc>
        <w:tc>
          <w:tcPr>
            <w:tcW w:w="1471" w:type="dxa"/>
            <w:vAlign w:val="center"/>
          </w:tcPr>
          <w:p w14:paraId="52E36C5E"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38.5%</w:t>
            </w:r>
          </w:p>
        </w:tc>
        <w:tc>
          <w:tcPr>
            <w:tcW w:w="1530" w:type="dxa"/>
            <w:vAlign w:val="center"/>
          </w:tcPr>
          <w:p w14:paraId="79C136EC" w14:textId="77777777" w:rsidR="00C50B27" w:rsidRPr="00B36AF4" w:rsidRDefault="00C50B27" w:rsidP="00F922AA">
            <w:pPr>
              <w:keepNext w:val="0"/>
              <w:spacing w:after="0" w:line="240" w:lineRule="auto"/>
              <w:ind w:firstLine="0"/>
              <w:jc w:val="center"/>
              <w:outlineLvl w:val="9"/>
              <w:rPr>
                <w:rFonts w:ascii="Times New Roman" w:hAnsi="Times New Roman" w:cs="Times New Roman"/>
                <w:sz w:val="20"/>
                <w:szCs w:val="20"/>
              </w:rPr>
            </w:pPr>
            <w:r w:rsidRPr="00B36AF4">
              <w:rPr>
                <w:rFonts w:ascii="Times New Roman" w:hAnsi="Times New Roman" w:cs="Times New Roman"/>
                <w:sz w:val="20"/>
                <w:szCs w:val="20"/>
              </w:rPr>
              <w:t>84.7%</w:t>
            </w:r>
          </w:p>
        </w:tc>
      </w:tr>
    </w:tbl>
    <w:p w14:paraId="29EF472B" w14:textId="77777777" w:rsidR="00C50B27" w:rsidRDefault="00C50B27" w:rsidP="00653C99">
      <w:pPr>
        <w:pStyle w:val="ListParagraph"/>
        <w:ind w:firstLine="720"/>
        <w:jc w:val="both"/>
        <w:rPr>
          <w:rFonts w:cs="Times New Roman"/>
        </w:rPr>
      </w:pPr>
    </w:p>
    <w:p w14:paraId="06B6F22D" w14:textId="22FB9E51" w:rsidR="006A55DE" w:rsidRDefault="00E93C1A" w:rsidP="00653C99">
      <w:pPr>
        <w:pStyle w:val="ListParagraph"/>
        <w:ind w:firstLine="720"/>
        <w:jc w:val="both"/>
        <w:rPr>
          <w:rFonts w:cs="Times New Roman"/>
        </w:rPr>
      </w:pPr>
      <w:r>
        <w:rPr>
          <w:rFonts w:cs="Times New Roman"/>
        </w:rPr>
        <w:t>Based on the preceding discussion</w:t>
      </w:r>
      <w:r w:rsidR="00653C99">
        <w:rPr>
          <w:rFonts w:cs="Times New Roman"/>
        </w:rPr>
        <w:t xml:space="preserve">, Staff excepts to the PFD to the extent that it has not addressed the issues raised by Staff with regard to how the TECI Rider is </w:t>
      </w:r>
      <w:r w:rsidR="00AB7A59">
        <w:rPr>
          <w:rFonts w:cs="Times New Roman"/>
        </w:rPr>
        <w:t xml:space="preserve">explicitly </w:t>
      </w:r>
      <w:r w:rsidR="00653C99">
        <w:rPr>
          <w:rFonts w:cs="Times New Roman"/>
        </w:rPr>
        <w:t>designed to under-recover from participating customers</w:t>
      </w:r>
      <w:r w:rsidR="00CD6E02">
        <w:rPr>
          <w:rFonts w:cs="Times New Roman"/>
        </w:rPr>
        <w:t xml:space="preserve"> </w:t>
      </w:r>
      <w:r w:rsidR="001E059F">
        <w:rPr>
          <w:rFonts w:cs="Times New Roman"/>
        </w:rPr>
        <w:t xml:space="preserve">and discriminate against identical non-participating customers </w:t>
      </w:r>
      <w:r w:rsidR="00CD6E02">
        <w:rPr>
          <w:rFonts w:cs="Times New Roman"/>
        </w:rPr>
        <w:t>by applying base rate revenues against both base rate costs and TECI costs</w:t>
      </w:r>
      <w:r w:rsidR="00653C99">
        <w:rPr>
          <w:rFonts w:cs="Times New Roman"/>
        </w:rPr>
        <w:t xml:space="preserve">. In contrast, the ALJ does make a finding that Staff’s proposal for ETI to establish a standardized EV rate class </w:t>
      </w:r>
      <w:r w:rsidR="00D201DD">
        <w:rPr>
          <w:rFonts w:cs="Times New Roman"/>
        </w:rPr>
        <w:t>would potentially result in ETI under-recovering the costs from participating customers.</w:t>
      </w:r>
      <w:r w:rsidR="00D201DD">
        <w:rPr>
          <w:rStyle w:val="FootnoteReference"/>
          <w:rFonts w:cs="Times New Roman"/>
        </w:rPr>
        <w:footnoteReference w:id="57"/>
      </w:r>
      <w:r w:rsidR="006A55DE">
        <w:rPr>
          <w:rFonts w:cs="Times New Roman"/>
        </w:rPr>
        <w:t xml:space="preserve"> However, as discussed above in Section II, an EV rate class</w:t>
      </w:r>
      <w:r w:rsidR="00F05E54">
        <w:rPr>
          <w:rFonts w:cs="Times New Roman"/>
        </w:rPr>
        <w:t xml:space="preserve"> with rates established based on cost</w:t>
      </w:r>
      <w:r w:rsidR="006A55DE">
        <w:rPr>
          <w:rFonts w:cs="Times New Roman"/>
        </w:rPr>
        <w:t xml:space="preserve"> would comport with standard ratemaking practices and cost causation principles, such that ETI would not under-recover from participating customers.</w:t>
      </w:r>
    </w:p>
    <w:p w14:paraId="37FAE395" w14:textId="0405258E" w:rsidR="008A0804" w:rsidRDefault="003623A4" w:rsidP="008A0804">
      <w:pPr>
        <w:pStyle w:val="ListParagraph"/>
        <w:ind w:firstLine="720"/>
        <w:jc w:val="both"/>
      </w:pPr>
      <w:r>
        <w:rPr>
          <w:rFonts w:cs="Times New Roman"/>
        </w:rPr>
        <w:lastRenderedPageBreak/>
        <w:t>Aside from the</w:t>
      </w:r>
      <w:r w:rsidR="004E77BC">
        <w:rPr>
          <w:rFonts w:cs="Times New Roman"/>
        </w:rPr>
        <w:t xml:space="preserve"> unrecovered costs due to the projected revenues </w:t>
      </w:r>
      <w:r>
        <w:rPr>
          <w:rFonts w:cs="Times New Roman"/>
        </w:rPr>
        <w:t>offset</w:t>
      </w:r>
      <w:r w:rsidR="008A0804">
        <w:rPr>
          <w:rFonts w:cs="Times New Roman"/>
        </w:rPr>
        <w:t xml:space="preserve">, there are other costs that will not be recovered by participating customers. Specifically, </w:t>
      </w:r>
      <w:r w:rsidR="00F60006">
        <w:rPr>
          <w:rFonts w:cs="Times New Roman"/>
        </w:rPr>
        <w:t xml:space="preserve">the </w:t>
      </w:r>
      <w:r w:rsidR="00AF443B">
        <w:rPr>
          <w:rFonts w:cs="Times New Roman"/>
        </w:rPr>
        <w:t xml:space="preserve">ALJ </w:t>
      </w:r>
      <w:r w:rsidR="00F60006">
        <w:rPr>
          <w:rFonts w:cs="Times New Roman"/>
        </w:rPr>
        <w:t xml:space="preserve">discusses </w:t>
      </w:r>
      <w:r w:rsidR="00AF443B">
        <w:rPr>
          <w:rFonts w:cs="Times New Roman"/>
        </w:rPr>
        <w:t xml:space="preserve">that </w:t>
      </w:r>
      <w:r w:rsidR="00C47494">
        <w:rPr>
          <w:rFonts w:cs="Times New Roman"/>
        </w:rPr>
        <w:t>ETI will have attendant costs prior to coming to an agreement with a customer</w:t>
      </w:r>
      <w:r w:rsidR="00CD6626">
        <w:rPr>
          <w:rFonts w:cs="Times New Roman"/>
        </w:rPr>
        <w:t xml:space="preserve"> that would </w:t>
      </w:r>
      <w:r w:rsidR="003A1ACE">
        <w:rPr>
          <w:rFonts w:cs="Times New Roman"/>
        </w:rPr>
        <w:t xml:space="preserve">still </w:t>
      </w:r>
      <w:r w:rsidR="00CD6626">
        <w:rPr>
          <w:rFonts w:cs="Times New Roman"/>
        </w:rPr>
        <w:t xml:space="preserve">be allocated to </w:t>
      </w:r>
      <w:r w:rsidR="004E6673">
        <w:rPr>
          <w:rFonts w:cs="Times New Roman"/>
        </w:rPr>
        <w:t>that customer.</w:t>
      </w:r>
      <w:r w:rsidR="004E6673">
        <w:rPr>
          <w:rStyle w:val="FootnoteReference"/>
          <w:rFonts w:cs="Times New Roman"/>
        </w:rPr>
        <w:footnoteReference w:id="58"/>
      </w:r>
      <w:r w:rsidR="004E6673">
        <w:rPr>
          <w:rFonts w:cs="Times New Roman"/>
        </w:rPr>
        <w:t xml:space="preserve"> </w:t>
      </w:r>
      <w:r w:rsidR="008A0804">
        <w:t>ETI</w:t>
      </w:r>
      <w:r w:rsidR="00BB5B6B">
        <w:t xml:space="preserve"> more specifically</w:t>
      </w:r>
      <w:r w:rsidR="008A0804">
        <w:t xml:space="preserve"> states that the attendant costs would be allocated to, and recovered from, the participating customer through the tariff for governing electrical services,</w:t>
      </w:r>
      <w:r w:rsidR="008A0804">
        <w:rPr>
          <w:rStyle w:val="FootnoteReference"/>
        </w:rPr>
        <w:footnoteReference w:id="59"/>
      </w:r>
      <w:r w:rsidR="008A0804">
        <w:t xml:space="preserve"> and claims that TECI customers will therefore pay their share of ETI’s cost of providing electric delivery service in the manner as every other ETI customer through an established base rate schedule.</w:t>
      </w:r>
      <w:r w:rsidR="008A0804">
        <w:rPr>
          <w:rStyle w:val="FootnoteReference"/>
        </w:rPr>
        <w:footnoteReference w:id="60"/>
      </w:r>
      <w:r w:rsidR="008A0804">
        <w:t xml:space="preserve"> </w:t>
      </w:r>
    </w:p>
    <w:p w14:paraId="2EF9910A" w14:textId="547E6EAF" w:rsidR="008A0804" w:rsidRDefault="008A0804" w:rsidP="008A0804">
      <w:pPr>
        <w:pStyle w:val="ListParagraph"/>
        <w:ind w:firstLine="720"/>
        <w:jc w:val="both"/>
      </w:pPr>
      <w:r>
        <w:t xml:space="preserve">ETI, however, disregards that costs related to the TECI Rider that are not ultimately recovered through the TECI Rider should not be shared in the manner described by ETI. Specifically, because these costs will be embedded into ETI’s cost of service, non-participating customers will inevitably be paying a portion of those costs, which does not comply with the requirements under PURA </w:t>
      </w:r>
      <w:r w:rsidRPr="00C75CA7">
        <w:rPr>
          <w:rFonts w:cs="Times New Roman"/>
        </w:rPr>
        <w:t>§</w:t>
      </w:r>
      <w:r>
        <w:rPr>
          <w:rFonts w:cs="Times New Roman"/>
        </w:rPr>
        <w:t xml:space="preserve"> 42.0103(o)(3) and (p)(2)</w:t>
      </w:r>
      <w:r>
        <w:t xml:space="preserve">. ETI also fails to consider that certain of these attendant costs may not result in a customer becoming a participating customer, such that ETI cannot otherwise claim that non-participating customers will not bear such costs. </w:t>
      </w:r>
    </w:p>
    <w:p w14:paraId="036731DC" w14:textId="77777777" w:rsidR="00D50380" w:rsidRDefault="008A0804" w:rsidP="008A0804">
      <w:pPr>
        <w:pStyle w:val="ListParagraph"/>
        <w:ind w:firstLine="720"/>
        <w:jc w:val="both"/>
      </w:pPr>
      <w:r>
        <w:t xml:space="preserve">Importantly, regardless of whether a customer ultimately becomes a participating customer, the fact that such costs are necessary to provide service to participating customers under the TECI Rider requires them to only be considered as TECI-related costs and demonstrates that ETI should only recover such costs from participating customers to comply with PURA </w:t>
      </w:r>
      <w:r w:rsidRPr="00C75CA7">
        <w:rPr>
          <w:rFonts w:cs="Times New Roman"/>
        </w:rPr>
        <w:t>§</w:t>
      </w:r>
      <w:r>
        <w:rPr>
          <w:rFonts w:cs="Times New Roman"/>
        </w:rPr>
        <w:t> 42.0103(o)(3) and (p)(2)</w:t>
      </w:r>
      <w:r>
        <w:t>.</w:t>
      </w:r>
      <w:r>
        <w:rPr>
          <w:rStyle w:val="FootnoteReference"/>
        </w:rPr>
        <w:footnoteReference w:id="61"/>
      </w:r>
      <w:r>
        <w:t xml:space="preserve"> The same conclusion applies to other TECI-related costs. Specifically, ETI will incur certain overhead and indirect and incremental costs, some of which are separate and distinct from the attendant costs discussed above.</w:t>
      </w:r>
      <w:r>
        <w:rPr>
          <w:rStyle w:val="FootnoteReference"/>
        </w:rPr>
        <w:footnoteReference w:id="62"/>
      </w:r>
      <w:r>
        <w:t xml:space="preserve"> But ETI has not ensured that participating customers will pay an appropriate share of such costs, such that the costs instead will similarly be embedded into ETI’s cost of service and subsidized by all other customers, despite the fact that such costs are only necessary to serve the participating customers.</w:t>
      </w:r>
      <w:r>
        <w:rPr>
          <w:rStyle w:val="FootnoteReference"/>
        </w:rPr>
        <w:footnoteReference w:id="63"/>
      </w:r>
      <w:r>
        <w:t xml:space="preserve"> </w:t>
      </w:r>
    </w:p>
    <w:p w14:paraId="5569EDF7" w14:textId="11690EF6" w:rsidR="00E90648" w:rsidRDefault="006A55DE" w:rsidP="008A0804">
      <w:pPr>
        <w:pStyle w:val="ListParagraph"/>
        <w:ind w:firstLine="720"/>
        <w:jc w:val="both"/>
      </w:pPr>
      <w:r>
        <w:rPr>
          <w:rFonts w:cs="Times New Roman"/>
        </w:rPr>
        <w:lastRenderedPageBreak/>
        <w:t>Finally, Staff excepts to the ALJ’s finding that ETI may be able to seek leave from the Commission to recover bad debt expenses from non-participating customers.</w:t>
      </w:r>
      <w:r>
        <w:rPr>
          <w:rStyle w:val="FootnoteReference"/>
          <w:rFonts w:cs="Times New Roman"/>
        </w:rPr>
        <w:footnoteReference w:id="64"/>
      </w:r>
      <w:r>
        <w:rPr>
          <w:rFonts w:cs="Times New Roman"/>
        </w:rPr>
        <w:t xml:space="preserve"> </w:t>
      </w:r>
      <w:r w:rsidR="00453401">
        <w:rPr>
          <w:rFonts w:cs="Times New Roman"/>
        </w:rPr>
        <w:t>Specifically, w</w:t>
      </w:r>
      <w:r w:rsidR="00453401">
        <w:t>hile recovering bad debt expense from the broader body of ratepayers may be appropriate as regards the costs of electric utility service that ETI is required to provide under its certificate of convenience and necessity, such an approach is questionable at best when it comes to optional services such as those offered under the proposed TECI and TECDA riders.</w:t>
      </w:r>
      <w:r w:rsidR="00453401">
        <w:rPr>
          <w:rStyle w:val="FootnoteReference"/>
        </w:rPr>
        <w:footnoteReference w:id="65"/>
      </w:r>
      <w:r w:rsidR="00453401">
        <w:t xml:space="preserve"> </w:t>
      </w:r>
      <w:r w:rsidR="00262FDF">
        <w:t>Accordingly, Staff recommends that, because these costs are ultimately not necessary for the functioning of ETI’s system, it would be appropriate to include a condition that ETI is prohibited from recovering any unrecovered TECI costs as bad debt expenses from any customers.</w:t>
      </w:r>
      <w:r w:rsidR="00262FDF">
        <w:rPr>
          <w:rStyle w:val="FootnoteReference"/>
        </w:rPr>
        <w:footnoteReference w:id="66"/>
      </w:r>
      <w:r w:rsidR="00262FDF">
        <w:t xml:space="preserve"> In the least, ETI should be prohibited from recovering such bad debt expenses from non-participating customers.</w:t>
      </w:r>
      <w:r w:rsidR="00262FDF">
        <w:rPr>
          <w:rStyle w:val="FootnoteReference"/>
        </w:rPr>
        <w:footnoteReference w:id="67"/>
      </w:r>
      <w:r w:rsidR="00262FDF">
        <w:t xml:space="preserve"> To that end, Staff notes that such a condition was </w:t>
      </w:r>
      <w:r w:rsidR="00630583">
        <w:t xml:space="preserve">recently </w:t>
      </w:r>
      <w:r w:rsidR="00262FDF">
        <w:t>recommended by the SOAH ALJs in EPE’s proceeding in Docket No. 54614.</w:t>
      </w:r>
      <w:r w:rsidR="00262FDF">
        <w:rPr>
          <w:rStyle w:val="FootnoteReference"/>
        </w:rPr>
        <w:footnoteReference w:id="68"/>
      </w:r>
      <w:r w:rsidR="00630583">
        <w:t xml:space="preserve"> </w:t>
      </w:r>
    </w:p>
    <w:p w14:paraId="49212D13" w14:textId="77777777" w:rsidR="00453401" w:rsidRDefault="00453401" w:rsidP="0018639E">
      <w:pPr>
        <w:pStyle w:val="ListParagraph"/>
        <w:ind w:firstLine="720"/>
        <w:jc w:val="both"/>
      </w:pPr>
    </w:p>
    <w:p w14:paraId="1A58D951" w14:textId="76AC59DB" w:rsidR="00B77508" w:rsidRDefault="00B77508" w:rsidP="00B77508">
      <w:pPr>
        <w:pStyle w:val="ListParagraph"/>
        <w:numPr>
          <w:ilvl w:val="0"/>
          <w:numId w:val="10"/>
        </w:numPr>
      </w:pPr>
      <w:r>
        <w:t>Competition</w:t>
      </w:r>
    </w:p>
    <w:p w14:paraId="08830B56" w14:textId="67CB1902" w:rsidR="008D2043" w:rsidRDefault="00642D65" w:rsidP="005F2B39">
      <w:pPr>
        <w:pStyle w:val="ListParagraph"/>
        <w:ind w:firstLine="720"/>
        <w:jc w:val="both"/>
      </w:pPr>
      <w:r>
        <w:t>Staff excepts to the ALJ’s finding that the TECI Rider does not stifle competition, but that it instead facilitates growth of the competitive EV charging market.</w:t>
      </w:r>
      <w:r w:rsidR="00F008D8">
        <w:rPr>
          <w:rStyle w:val="FootnoteReference"/>
        </w:rPr>
        <w:footnoteReference w:id="69"/>
      </w:r>
      <w:r w:rsidR="00E74D33">
        <w:t xml:space="preserve"> Specifically, based on the projected revenues</w:t>
      </w:r>
      <w:r w:rsidR="00261079">
        <w:t xml:space="preserve"> offset</w:t>
      </w:r>
      <w:r w:rsidR="00F672C7">
        <w:t xml:space="preserve"> included in the TECI rider and</w:t>
      </w:r>
      <w:r w:rsidR="00E74D33">
        <w:t xml:space="preserve"> discussed above, ETI confirmed that a non-participating customer who installs the same exact EV charging equipment at the same exact cost may have to pay the full costs, whereas a participating customer would benefit from the revenue offset, resulting in significant subsidies for the participating customer</w:t>
      </w:r>
      <w:r w:rsidR="00403837">
        <w:t>,</w:t>
      </w:r>
      <w:r w:rsidR="00E74D33">
        <w:rPr>
          <w:rStyle w:val="FootnoteReference"/>
        </w:rPr>
        <w:footnoteReference w:id="70"/>
      </w:r>
      <w:r w:rsidR="00E74D33" w:rsidRPr="00E74D33">
        <w:t xml:space="preserve"> </w:t>
      </w:r>
      <w:r w:rsidR="00403837">
        <w:t xml:space="preserve">as demonstrated in the </w:t>
      </w:r>
      <w:r w:rsidR="00E74D33">
        <w:t xml:space="preserve">table </w:t>
      </w:r>
      <w:r w:rsidR="00403837">
        <w:t>above in Section III.3</w:t>
      </w:r>
      <w:r w:rsidR="00CF0740">
        <w:t>.a.</w:t>
      </w:r>
      <w:r w:rsidR="00E74D33">
        <w:t xml:space="preserve">That Chapter 42 of PURA contemplates electric utilities’ participation in developing the infrastructure for supporting EV charging stations and sets out a framework with parameters for electric utility participation does not mean that ETI’s proposed </w:t>
      </w:r>
      <w:r w:rsidR="00E74D33">
        <w:lastRenderedPageBreak/>
        <w:t>effort to participate through the TECI Rider should be approved.</w:t>
      </w:r>
      <w:r w:rsidR="00E74D33">
        <w:rPr>
          <w:rStyle w:val="FootnoteReference"/>
        </w:rPr>
        <w:footnoteReference w:id="71"/>
      </w:r>
      <w:r w:rsidR="00E74D33">
        <w:t xml:space="preserve"> While it may help proliferate such infrastructure in ETI’s service territory, the inherent subsidies</w:t>
      </w:r>
      <w:r w:rsidR="00BF1BD2">
        <w:t xml:space="preserve"> in</w:t>
      </w:r>
      <w:r w:rsidR="00E74D33">
        <w:t xml:space="preserve"> the rider would effectively discourage and</w:t>
      </w:r>
      <w:r w:rsidR="00BF1BD2">
        <w:t>, in fact,</w:t>
      </w:r>
      <w:r w:rsidR="00E74D33">
        <w:t xml:space="preserve"> prohibit the proliferation of EV charging stations outside of ETI’s offering and thus conflict with the Legislature’s intent for EV-related tariffs </w:t>
      </w:r>
      <w:r w:rsidR="00BF1BD2">
        <w:t xml:space="preserve">be competitively neutral and </w:t>
      </w:r>
      <w:r w:rsidR="00E74D33">
        <w:t>foster competition.</w:t>
      </w:r>
      <w:r w:rsidR="00E74D33">
        <w:rPr>
          <w:rStyle w:val="FootnoteReference"/>
        </w:rPr>
        <w:footnoteReference w:id="72"/>
      </w:r>
      <w:r w:rsidR="008D2043">
        <w:t xml:space="preserve"> Specifically, the subsidies would compel both customers and private competitive providers to avail themselves of ETI’s offering in order to respectively receive and provide EV-related services in ETI’s service area.</w:t>
      </w:r>
      <w:r w:rsidR="008D2043">
        <w:rPr>
          <w:rStyle w:val="FootnoteReference"/>
        </w:rPr>
        <w:footnoteReference w:id="73"/>
      </w:r>
      <w:r w:rsidR="008D2043">
        <w:t xml:space="preserve"> </w:t>
      </w:r>
      <w:r w:rsidR="00D071AE">
        <w:t>I</w:t>
      </w:r>
      <w:r w:rsidR="008D2043">
        <w:t>n the least, the subsidies would prevent private competitive providers from being able to provide their services competitively outside of ETI’s offering.</w:t>
      </w:r>
      <w:r w:rsidR="008D2043">
        <w:rPr>
          <w:rStyle w:val="FootnoteReference"/>
        </w:rPr>
        <w:footnoteReference w:id="74"/>
      </w:r>
      <w:r w:rsidR="008D2043">
        <w:t xml:space="preserve"> </w:t>
      </w:r>
    </w:p>
    <w:p w14:paraId="6E2480F8" w14:textId="40C6116C" w:rsidR="008D2043" w:rsidRDefault="008D2043" w:rsidP="008D2043">
      <w:pPr>
        <w:pStyle w:val="ListParagraph"/>
        <w:ind w:firstLine="720"/>
        <w:jc w:val="both"/>
      </w:pPr>
      <w:r>
        <w:t>Further, since ETI has control over which private competitive providers to include on its list of approved vendors that will provide third-party services to TECI customers,</w:t>
      </w:r>
      <w:r>
        <w:rPr>
          <w:rStyle w:val="FootnoteReference"/>
        </w:rPr>
        <w:footnoteReference w:id="75"/>
      </w:r>
      <w:r>
        <w:t xml:space="preserve"> </w:t>
      </w:r>
      <w:r w:rsidR="00213366">
        <w:t>by not being included on ETI’s list, a p</w:t>
      </w:r>
      <w:r>
        <w:t>rivate competitive provider</w:t>
      </w:r>
      <w:r w:rsidR="00213366">
        <w:t xml:space="preserve"> would effectively be prevented from </w:t>
      </w:r>
      <w:r>
        <w:t xml:space="preserve">being able to provide service within ETI’s territory </w:t>
      </w:r>
      <w:r w:rsidR="000361DB">
        <w:t>altogether.</w:t>
      </w:r>
      <w:r w:rsidR="00B83B73">
        <w:t xml:space="preserve"> Ultimately, such a scheme by ETI is anything but competitively neutral.</w:t>
      </w:r>
    </w:p>
    <w:p w14:paraId="3FBDB2DF" w14:textId="77777777" w:rsidR="000D55BB" w:rsidRDefault="00AC43BC" w:rsidP="00F91DDF">
      <w:pPr>
        <w:pStyle w:val="ListParagraph"/>
        <w:ind w:firstLine="720"/>
        <w:jc w:val="both"/>
        <w:rPr>
          <w:rFonts w:cs="Times New Roman"/>
        </w:rPr>
      </w:pPr>
      <w:r>
        <w:t xml:space="preserve">Staff also excepts to the PFD to the extent the ALJ has not addressed that ETI intends to offer the TECI Rider to customers of a type that the Legislature did not intend for PURA </w:t>
      </w:r>
      <w:r w:rsidRPr="00C75CA7">
        <w:rPr>
          <w:rFonts w:cs="Times New Roman"/>
        </w:rPr>
        <w:t>§</w:t>
      </w:r>
      <w:r>
        <w:rPr>
          <w:rFonts w:cs="Times New Roman"/>
        </w:rPr>
        <w:t xml:space="preserve"> 42.0103(o) to apply, such that ETI would </w:t>
      </w:r>
      <w:r w:rsidR="00347B0E">
        <w:rPr>
          <w:rFonts w:cs="Times New Roman"/>
        </w:rPr>
        <w:t>inappropriate</w:t>
      </w:r>
      <w:r w:rsidR="00D943F2">
        <w:rPr>
          <w:rFonts w:cs="Times New Roman"/>
        </w:rPr>
        <w:t>ly</w:t>
      </w:r>
      <w:r w:rsidR="00347B0E">
        <w:rPr>
          <w:rFonts w:cs="Times New Roman"/>
        </w:rPr>
        <w:t xml:space="preserve"> be </w:t>
      </w:r>
      <w:r>
        <w:rPr>
          <w:rFonts w:cs="Times New Roman"/>
        </w:rPr>
        <w:t>owning and operating transportation electrification and charging infrastructure</w:t>
      </w:r>
      <w:r w:rsidR="00347B0E">
        <w:rPr>
          <w:rFonts w:cs="Times New Roman"/>
        </w:rPr>
        <w:t xml:space="preserve"> and providing a service that is best l</w:t>
      </w:r>
      <w:r>
        <w:rPr>
          <w:rFonts w:cs="Times New Roman"/>
        </w:rPr>
        <w:t xml:space="preserve">eft to the competitive market. Importantly, the TECI Rider can only comply with </w:t>
      </w:r>
      <w:r>
        <w:t xml:space="preserve">PURA </w:t>
      </w:r>
      <w:r w:rsidRPr="00C75CA7">
        <w:rPr>
          <w:rFonts w:cs="Times New Roman"/>
        </w:rPr>
        <w:t>§</w:t>
      </w:r>
      <w:r>
        <w:rPr>
          <w:rFonts w:cs="Times New Roman"/>
        </w:rPr>
        <w:t xml:space="preserve"> 42.0103(o) to the extent it is offered to customers who will be using </w:t>
      </w:r>
      <w:r>
        <w:rPr>
          <w:rFonts w:cs="Times New Roman"/>
          <w:i/>
          <w:iCs/>
        </w:rPr>
        <w:t>public</w:t>
      </w:r>
      <w:r>
        <w:rPr>
          <w:rFonts w:cs="Times New Roman"/>
        </w:rPr>
        <w:t xml:space="preserve"> EV charging stations.</w:t>
      </w:r>
      <w:r>
        <w:rPr>
          <w:rStyle w:val="FootnoteReference"/>
          <w:rFonts w:cs="Times New Roman"/>
        </w:rPr>
        <w:footnoteReference w:id="76"/>
      </w:r>
      <w:r>
        <w:rPr>
          <w:rFonts w:cs="Times New Roman"/>
        </w:rPr>
        <w:t xml:space="preserve"> Specifically, because </w:t>
      </w:r>
      <w:r>
        <w:t xml:space="preserve">PURA </w:t>
      </w:r>
      <w:r w:rsidRPr="00C75CA7">
        <w:rPr>
          <w:rFonts w:cs="Times New Roman"/>
        </w:rPr>
        <w:t>§</w:t>
      </w:r>
      <w:r>
        <w:rPr>
          <w:rFonts w:cs="Times New Roman"/>
        </w:rPr>
        <w:t xml:space="preserve"> 42.0103(o) only applies to agreements related </w:t>
      </w:r>
      <w:r>
        <w:rPr>
          <w:rFonts w:cs="Times New Roman"/>
          <w:i/>
          <w:iCs/>
        </w:rPr>
        <w:t>public</w:t>
      </w:r>
      <w:r>
        <w:rPr>
          <w:rFonts w:cs="Times New Roman"/>
        </w:rPr>
        <w:t xml:space="preserve"> EV charging stations and </w:t>
      </w:r>
      <w:r>
        <w:t xml:space="preserve">PURA </w:t>
      </w:r>
      <w:r w:rsidRPr="00C75CA7">
        <w:rPr>
          <w:rFonts w:cs="Times New Roman"/>
        </w:rPr>
        <w:t>§</w:t>
      </w:r>
      <w:r>
        <w:rPr>
          <w:rFonts w:cs="Times New Roman"/>
        </w:rPr>
        <w:t xml:space="preserve"> 42.0102(7) defines a </w:t>
      </w:r>
      <w:r>
        <w:rPr>
          <w:rFonts w:cs="Times New Roman"/>
          <w:i/>
          <w:iCs/>
        </w:rPr>
        <w:t>public</w:t>
      </w:r>
      <w:r>
        <w:rPr>
          <w:rFonts w:cs="Times New Roman"/>
        </w:rPr>
        <w:t xml:space="preserve"> EV charging station as a charging station that is accessible for commercial use by the public, TECI customers must </w:t>
      </w:r>
      <w:r w:rsidR="00347B0E">
        <w:rPr>
          <w:rFonts w:cs="Times New Roman"/>
        </w:rPr>
        <w:t>make their EV charging stations commercially available to the public.</w:t>
      </w:r>
      <w:r w:rsidR="00347B0E">
        <w:rPr>
          <w:rStyle w:val="FootnoteReference"/>
          <w:rFonts w:cs="Times New Roman"/>
        </w:rPr>
        <w:footnoteReference w:id="77"/>
      </w:r>
      <w:r w:rsidR="00347B0E">
        <w:rPr>
          <w:rFonts w:cs="Times New Roman"/>
        </w:rPr>
        <w:t xml:space="preserve"> </w:t>
      </w:r>
    </w:p>
    <w:p w14:paraId="6A15C7AD" w14:textId="30814169" w:rsidR="00F91DDF" w:rsidRDefault="00347B0E" w:rsidP="00F91DDF">
      <w:pPr>
        <w:pStyle w:val="ListParagraph"/>
        <w:ind w:firstLine="720"/>
        <w:jc w:val="both"/>
      </w:pPr>
      <w:r>
        <w:rPr>
          <w:rFonts w:cs="Times New Roman"/>
        </w:rPr>
        <w:lastRenderedPageBreak/>
        <w:t xml:space="preserve">ETI, however, has made it clear that it intends to offer the TECI Rider </w:t>
      </w:r>
      <w:r w:rsidR="009C22A2">
        <w:rPr>
          <w:rFonts w:cs="Times New Roman"/>
        </w:rPr>
        <w:t xml:space="preserve">to customers </w:t>
      </w:r>
      <w:r>
        <w:rPr>
          <w:rFonts w:cs="Times New Roman"/>
        </w:rPr>
        <w:t>who will not make EV charging stations accessible for commercial use by the public.</w:t>
      </w:r>
      <w:r>
        <w:rPr>
          <w:rStyle w:val="FootnoteReference"/>
          <w:rFonts w:cs="Times New Roman"/>
        </w:rPr>
        <w:footnoteReference w:id="78"/>
      </w:r>
      <w:r>
        <w:rPr>
          <w:rFonts w:cs="Times New Roman"/>
        </w:rPr>
        <w:t xml:space="preserve"> Pursuant to PURA </w:t>
      </w:r>
      <w:r w:rsidRPr="00C75CA7">
        <w:rPr>
          <w:rFonts w:cs="Times New Roman"/>
        </w:rPr>
        <w:t>§</w:t>
      </w:r>
      <w:r>
        <w:rPr>
          <w:rFonts w:cs="Times New Roman"/>
        </w:rPr>
        <w:t xml:space="preserve"> 11.002 and 16 TAC </w:t>
      </w:r>
      <w:r w:rsidRPr="00C75CA7">
        <w:rPr>
          <w:rFonts w:cs="Times New Roman"/>
        </w:rPr>
        <w:t>§</w:t>
      </w:r>
      <w:r>
        <w:rPr>
          <w:rFonts w:cs="Times New Roman"/>
        </w:rPr>
        <w:t xml:space="preserve"> 25.1, such ownership, operations, and services related to customers that do fall under the parameters of PURA </w:t>
      </w:r>
      <w:r w:rsidRPr="00C75CA7">
        <w:rPr>
          <w:rFonts w:cs="Times New Roman"/>
        </w:rPr>
        <w:t>§</w:t>
      </w:r>
      <w:r>
        <w:rPr>
          <w:rFonts w:cs="Times New Roman"/>
        </w:rPr>
        <w:t> 42.0103(o) should be left to competitive providers.</w:t>
      </w:r>
      <w:r>
        <w:rPr>
          <w:rStyle w:val="FootnoteReference"/>
          <w:rFonts w:cs="Times New Roman"/>
        </w:rPr>
        <w:footnoteReference w:id="79"/>
      </w:r>
      <w:r>
        <w:rPr>
          <w:rFonts w:cs="Times New Roman"/>
        </w:rPr>
        <w:t xml:space="preserve"> </w:t>
      </w:r>
      <w:r w:rsidR="0044222D">
        <w:rPr>
          <w:rFonts w:cs="Times New Roman"/>
        </w:rPr>
        <w:t xml:space="preserve">Accordingly, Staff recommends that, to the extent that Staff’s exceptions to </w:t>
      </w:r>
      <w:r w:rsidR="00C13CE0">
        <w:rPr>
          <w:rFonts w:cs="Times New Roman"/>
        </w:rPr>
        <w:t xml:space="preserve">the </w:t>
      </w:r>
      <w:r w:rsidR="0044222D">
        <w:rPr>
          <w:rFonts w:cs="Times New Roman"/>
        </w:rPr>
        <w:t xml:space="preserve">overall approval of the TECI Rider are not granted, the ALJ include a finding that ETI </w:t>
      </w:r>
      <w:r w:rsidR="0044222D">
        <w:rPr>
          <w:bCs/>
        </w:rPr>
        <w:t>may not offer the TECI Rider to customers that will only be using non-public EV charging stations</w:t>
      </w:r>
      <w:r w:rsidR="00BF202D">
        <w:rPr>
          <w:bCs/>
        </w:rPr>
        <w:t>.</w:t>
      </w:r>
      <w:r w:rsidR="00F91DDF">
        <w:rPr>
          <w:bCs/>
        </w:rPr>
        <w:t xml:space="preserve"> </w:t>
      </w:r>
      <w:r w:rsidR="00F91DDF">
        <w:t>To that end, Staff notes that such a finding was recently made by the SOAH ALJs in EPE’s proceeding in Docket No. 54614.</w:t>
      </w:r>
      <w:r w:rsidR="00F91DDF">
        <w:rPr>
          <w:rStyle w:val="FootnoteReference"/>
        </w:rPr>
        <w:footnoteReference w:id="80"/>
      </w:r>
      <w:r w:rsidR="007F3178">
        <w:t xml:space="preserve"> More particularly, this proposed finding is related to the issues severed from Docket No. 53719 into this proceeding, requiring SOAH to address whethe</w:t>
      </w:r>
      <w:r w:rsidR="00070A6C">
        <w:t>r, as a general matter, it was appropriate for vertically integrated utilities, such as ETI, to own transportation electrification and charging infrastructure.</w:t>
      </w:r>
      <w:r w:rsidR="00070A6C">
        <w:rPr>
          <w:rStyle w:val="FootnoteReference"/>
        </w:rPr>
        <w:footnoteReference w:id="81"/>
      </w:r>
      <w:r w:rsidR="007F3178">
        <w:t xml:space="preserve"> </w:t>
      </w:r>
      <w:r w:rsidR="00FD70BE">
        <w:t>In regards to potential TECI customers that will not fit within the parameters required by PURA</w:t>
      </w:r>
      <w:r w:rsidR="00FD70BE">
        <w:rPr>
          <w:rFonts w:cs="Times New Roman"/>
        </w:rPr>
        <w:t xml:space="preserve"> </w:t>
      </w:r>
      <w:r w:rsidR="00FD70BE" w:rsidRPr="00C75CA7">
        <w:rPr>
          <w:rFonts w:cs="Times New Roman"/>
        </w:rPr>
        <w:t>§</w:t>
      </w:r>
      <w:r w:rsidR="00FD70BE">
        <w:rPr>
          <w:rFonts w:cs="Times New Roman"/>
        </w:rPr>
        <w:t xml:space="preserve"> 42.0103(o), Staff recommends that the above issue is ripe for consideration and that the Commission should determine that, as a general matter, it is not appropriate for vertically integrated utilities, such as ETI, to own transportation electrification and charging infrastructure as applied to such customers that do not qualify under </w:t>
      </w:r>
      <w:r w:rsidR="00FD70BE">
        <w:t>PURA</w:t>
      </w:r>
      <w:r w:rsidR="00FD70BE">
        <w:rPr>
          <w:rFonts w:cs="Times New Roman"/>
        </w:rPr>
        <w:t xml:space="preserve"> </w:t>
      </w:r>
      <w:r w:rsidR="00FD70BE" w:rsidRPr="00C75CA7">
        <w:rPr>
          <w:rFonts w:cs="Times New Roman"/>
        </w:rPr>
        <w:t>§</w:t>
      </w:r>
      <w:r w:rsidR="00FD70BE">
        <w:rPr>
          <w:rFonts w:cs="Times New Roman"/>
        </w:rPr>
        <w:t> 42.0103(o).</w:t>
      </w:r>
    </w:p>
    <w:p w14:paraId="3D134E07" w14:textId="05509E0D" w:rsidR="000D55BB" w:rsidRDefault="008D2043" w:rsidP="008D2043">
      <w:pPr>
        <w:pStyle w:val="ListParagraph"/>
        <w:ind w:firstLine="720"/>
        <w:jc w:val="both"/>
      </w:pPr>
      <w:r>
        <w:t xml:space="preserve"> </w:t>
      </w:r>
    </w:p>
    <w:p w14:paraId="15DC86A1" w14:textId="6D7945C9" w:rsidR="00B77508" w:rsidRDefault="00B77508" w:rsidP="00B77508">
      <w:pPr>
        <w:pStyle w:val="ListParagraph"/>
        <w:numPr>
          <w:ilvl w:val="0"/>
          <w:numId w:val="10"/>
        </w:numPr>
      </w:pPr>
      <w:r>
        <w:t>Preferential, Prejudicial, or Discriminatory</w:t>
      </w:r>
    </w:p>
    <w:p w14:paraId="407ED0E1" w14:textId="3398D4C4" w:rsidR="00C41927" w:rsidRDefault="002B4260" w:rsidP="00C41927">
      <w:pPr>
        <w:pStyle w:val="ListParagraph"/>
        <w:ind w:firstLine="720"/>
        <w:jc w:val="both"/>
      </w:pPr>
      <w:r>
        <w:t>Staff excepts the ALJ’s findings that the TECI Rider is not preferential, prejudicial, or discriminatory and that it appropriately recovers the costs associated with a customer’s participation and is reasonable, fair, and appropriate.</w:t>
      </w:r>
      <w:r w:rsidR="00B44F86">
        <w:rPr>
          <w:rStyle w:val="FootnoteReference"/>
        </w:rPr>
        <w:footnoteReference w:id="82"/>
      </w:r>
      <w:r>
        <w:t xml:space="preserve"> </w:t>
      </w:r>
      <w:r w:rsidR="00C41927">
        <w:t>Instead, although not acknowledged in the PFD, Staff contends that the TECI Rider is inherently preferential based on the subsidies that it provides to participating customers.</w:t>
      </w:r>
      <w:r w:rsidR="00C41927">
        <w:rPr>
          <w:rStyle w:val="FootnoteReference"/>
        </w:rPr>
        <w:footnoteReference w:id="83"/>
      </w:r>
      <w:r w:rsidR="00C41927">
        <w:t xml:space="preserve"> With the subsidies, the TECI Rider is also inequitable, because it does not ensure that ETI will collect the full TECI costs from participating customers, while ETI will be able to seek to recover the remaining costs from all its customers, including non-</w:t>
      </w:r>
      <w:r w:rsidR="00C41927">
        <w:lastRenderedPageBreak/>
        <w:t>participating customers.</w:t>
      </w:r>
      <w:r w:rsidR="00C41927">
        <w:rPr>
          <w:rStyle w:val="FootnoteReference"/>
        </w:rPr>
        <w:footnoteReference w:id="84"/>
      </w:r>
      <w:r w:rsidR="00C41927">
        <w:t xml:space="preserve"> And because non-participating customers would bear some of the unrecovered TECI costs, the TECI Rider is discriminatory.</w:t>
      </w:r>
      <w:r w:rsidR="00C41927">
        <w:rPr>
          <w:rStyle w:val="FootnoteReference"/>
        </w:rPr>
        <w:footnoteReference w:id="85"/>
      </w:r>
      <w:r w:rsidR="00C41927">
        <w:t xml:space="preserve"> Furthermore, ETI has not even demonstrated that it will be able to offer the TECI Rider on a nondiscriminatory </w:t>
      </w:r>
      <w:r w:rsidR="00CC7666">
        <w:t>basis</w:t>
      </w:r>
      <w:r w:rsidR="00C41927">
        <w:t>, primarily based on both ETI’s lack of control over O&amp;M costs and EV charging service prices, as well as ETI’s discretion in determining how and when to apply projected revenues as an offset against the TECI costs.</w:t>
      </w:r>
      <w:r w:rsidR="00C41927">
        <w:rPr>
          <w:rStyle w:val="FootnoteReference"/>
        </w:rPr>
        <w:footnoteReference w:id="86"/>
      </w:r>
    </w:p>
    <w:p w14:paraId="4533394B" w14:textId="77777777" w:rsidR="007C5B2E" w:rsidRDefault="007C5B2E" w:rsidP="0088304B">
      <w:pPr>
        <w:pStyle w:val="ListParagraph"/>
        <w:ind w:firstLine="720"/>
        <w:jc w:val="both"/>
      </w:pPr>
    </w:p>
    <w:p w14:paraId="3F5ED8B7" w14:textId="49C2E165" w:rsidR="0088304B" w:rsidRPr="00E1326E" w:rsidRDefault="002740AB" w:rsidP="00E1326E">
      <w:pPr>
        <w:pStyle w:val="Heading2"/>
        <w:numPr>
          <w:ilvl w:val="0"/>
          <w:numId w:val="6"/>
        </w:numPr>
        <w:spacing w:line="240" w:lineRule="auto"/>
        <w:ind w:hanging="720"/>
        <w:jc w:val="both"/>
        <w:rPr>
          <w:caps w:val="0"/>
        </w:rPr>
      </w:pPr>
      <w:bookmarkStart w:id="1" w:name="_Toc164041264"/>
      <w:r>
        <w:rPr>
          <w:caps w:val="0"/>
        </w:rPr>
        <w:t>TECDA Rider</w:t>
      </w:r>
      <w:r w:rsidR="00523858" w:rsidRPr="00557FD7">
        <w:rPr>
          <w:caps w:val="0"/>
        </w:rPr>
        <w:t xml:space="preserve"> </w:t>
      </w:r>
      <w:bookmarkEnd w:id="1"/>
    </w:p>
    <w:p w14:paraId="6C182E2C" w14:textId="45C3BAA1" w:rsidR="0088304B" w:rsidRDefault="00B77508" w:rsidP="00E1326E">
      <w:pPr>
        <w:pStyle w:val="ListParagraph"/>
        <w:numPr>
          <w:ilvl w:val="0"/>
          <w:numId w:val="13"/>
        </w:numPr>
        <w:ind w:left="1080"/>
      </w:pPr>
      <w:r>
        <w:t xml:space="preserve">ALJ’s Analysis </w:t>
      </w:r>
    </w:p>
    <w:p w14:paraId="5BFBEFF7" w14:textId="1FE6B370" w:rsidR="00755ABD" w:rsidRDefault="00391636" w:rsidP="009D5408">
      <w:pPr>
        <w:pStyle w:val="ListParagraph"/>
        <w:ind w:firstLine="720"/>
        <w:jc w:val="both"/>
      </w:pPr>
      <w:r>
        <w:t>Staff excepts to the ALJ’s recommendation that the TECDA Rider be approved.</w:t>
      </w:r>
      <w:r>
        <w:rPr>
          <w:rStyle w:val="FootnoteReference"/>
        </w:rPr>
        <w:footnoteReference w:id="87"/>
      </w:r>
      <w:r>
        <w:t xml:space="preserve"> </w:t>
      </w:r>
      <w:r w:rsidR="00F32EE2">
        <w:t>More specifically</w:t>
      </w:r>
      <w:r>
        <w:t>, Staff excepts to the ALJ’s finding</w:t>
      </w:r>
      <w:r w:rsidR="00F32EE2">
        <w:t>s</w:t>
      </w:r>
      <w:r>
        <w:t xml:space="preserve"> that </w:t>
      </w:r>
      <w:r w:rsidR="00F32EE2">
        <w:t xml:space="preserve">1) </w:t>
      </w:r>
      <w:r>
        <w:t>ETI proved, by a preponderance of the evidence, that the TECDA Rider will not result in cost shifting from participating customers to non-participating customers</w:t>
      </w:r>
      <w:r w:rsidR="00F32EE2">
        <w:t>, 2) it is appropriate to engage in a holistic approach in the analysis of the TECDA Rider under Chapter 42 of PURA, rather than focusing on one factor, namely whether the rider is based on cost causation principles</w:t>
      </w:r>
      <w:r w:rsidR="00AD69F1">
        <w:t xml:space="preserve">, </w:t>
      </w:r>
      <w:r w:rsidR="007F3178">
        <w:t xml:space="preserve">3) </w:t>
      </w:r>
      <w:r w:rsidR="00B50689">
        <w:t>the TECDA Rider does not constitute a discounted rate, and 4) the TECDA Rider is not preferential, prejudicial, or discriminatory</w:t>
      </w:r>
      <w:r>
        <w:t>.</w:t>
      </w:r>
      <w:r>
        <w:rPr>
          <w:rStyle w:val="FootnoteReference"/>
        </w:rPr>
        <w:footnoteReference w:id="88"/>
      </w:r>
    </w:p>
    <w:p w14:paraId="17106EF9" w14:textId="27C792A7" w:rsidR="00D26D30" w:rsidRDefault="003D0321" w:rsidP="00E23D35">
      <w:pPr>
        <w:pStyle w:val="ListParagraph"/>
        <w:ind w:firstLine="720"/>
        <w:jc w:val="both"/>
        <w:rPr>
          <w:rFonts w:cs="Times New Roman"/>
        </w:rPr>
      </w:pPr>
      <w:r>
        <w:t xml:space="preserve">Regarding </w:t>
      </w:r>
      <w:r w:rsidR="00647523">
        <w:t>Staff’s first two exceptions</w:t>
      </w:r>
      <w:r>
        <w:t xml:space="preserve">, Staff </w:t>
      </w:r>
      <w:r w:rsidR="00647523">
        <w:t xml:space="preserve">contends that the TECI Rider </w:t>
      </w:r>
      <w:r>
        <w:t>provides significant discounts</w:t>
      </w:r>
      <w:r w:rsidR="00647523">
        <w:t xml:space="preserve"> from cost-based rates and is thus not based on cost causation principles. And because compliance with Chapter 42 of PURA is necessary to a certain extent, as demonstrated by the Commission’s inclusion of such as in issue in its preliminary order for this proceeding, the TECDA Rider must be based on cost causation principles.</w:t>
      </w:r>
      <w:r w:rsidR="00647523">
        <w:rPr>
          <w:rStyle w:val="FootnoteReference"/>
        </w:rPr>
        <w:footnoteReference w:id="89"/>
      </w:r>
      <w:r w:rsidR="00647523">
        <w:t xml:space="preserve"> ETI’s arguments and the ALJ’s findings that a holistic approach to analyze the rider under Chapter 42 of PURA is appropriate does not mean that the Legislature’s finding under PURA </w:t>
      </w:r>
      <w:r w:rsidR="00647523" w:rsidRPr="00C75CA7">
        <w:rPr>
          <w:rFonts w:cs="Times New Roman"/>
        </w:rPr>
        <w:t>§</w:t>
      </w:r>
      <w:r w:rsidR="00647523">
        <w:rPr>
          <w:rFonts w:cs="Times New Roman"/>
        </w:rPr>
        <w:t xml:space="preserve"> 42.0102(d)(2) </w:t>
      </w:r>
      <w:r w:rsidR="00647523">
        <w:t xml:space="preserve">should be ignored or disregarded. Accordingly, any tariff that is filed pursuant to the overall purpose of Chapter 42 of PURA, must not only be consistent with the overall legislative intent, </w:t>
      </w:r>
      <w:r w:rsidR="0033797A">
        <w:t xml:space="preserve">as ETI and the ALJ suggest, </w:t>
      </w:r>
      <w:r w:rsidR="00647523">
        <w:lastRenderedPageBreak/>
        <w:t xml:space="preserve">but also meet each legislative findings therein, which in this case includes ensuring that such tariffs are based on cost causation principles. Notably, for support of its TECI Rider, ETI argues that it </w:t>
      </w:r>
      <w:r w:rsidR="00E23D35">
        <w:t>complies with well-established cost-causation principles,</w:t>
      </w:r>
      <w:r w:rsidR="00E23D35">
        <w:rPr>
          <w:rStyle w:val="FootnoteReference"/>
        </w:rPr>
        <w:footnoteReference w:id="90"/>
      </w:r>
      <w:r w:rsidR="00E23D35">
        <w:t xml:space="preserve"> in compliance with PURA </w:t>
      </w:r>
      <w:r w:rsidR="00E23D35" w:rsidRPr="00C75CA7">
        <w:rPr>
          <w:rFonts w:cs="Times New Roman"/>
        </w:rPr>
        <w:t>§</w:t>
      </w:r>
      <w:r w:rsidR="00E23D35">
        <w:rPr>
          <w:rFonts w:cs="Times New Roman"/>
        </w:rPr>
        <w:t xml:space="preserve"> 42.0102(d)(2). </w:t>
      </w:r>
    </w:p>
    <w:p w14:paraId="69AD93BF" w14:textId="3468EBDA" w:rsidR="00BB5D8E" w:rsidRDefault="00E23D35" w:rsidP="00EA6EAB">
      <w:pPr>
        <w:pStyle w:val="ListParagraph"/>
        <w:ind w:firstLine="720"/>
        <w:jc w:val="both"/>
        <w:rPr>
          <w:rFonts w:cs="Times New Roman"/>
        </w:rPr>
      </w:pPr>
      <w:r>
        <w:rPr>
          <w:rFonts w:cs="Times New Roman"/>
        </w:rPr>
        <w:t>Furthermore, Walmart acknowledges that the TECDA Rider diverges from cost-based rates and could create inter- or intra-class subsidies.</w:t>
      </w:r>
      <w:r>
        <w:rPr>
          <w:rStyle w:val="FootnoteReference"/>
          <w:rFonts w:cs="Times New Roman"/>
        </w:rPr>
        <w:footnoteReference w:id="91"/>
      </w:r>
      <w:r>
        <w:rPr>
          <w:rFonts w:cs="Times New Roman"/>
        </w:rPr>
        <w:t xml:space="preserve"> </w:t>
      </w:r>
      <w:r w:rsidR="00D26D30">
        <w:rPr>
          <w:rFonts w:cs="Times New Roman"/>
        </w:rPr>
        <w:t xml:space="preserve">Staff also contends that the </w:t>
      </w:r>
      <w:r w:rsidR="00EA6EAB">
        <w:rPr>
          <w:rFonts w:cs="Times New Roman"/>
        </w:rPr>
        <w:t>discounted billing demand does not provide adequate price signals to customers and can encourage customers to unnecessarily impose higher demands on the system, resulting in higher costs being incurred to achieve lower electric bills under the TECDA Rider, ultimately resulting in higher rates for all customers.</w:t>
      </w:r>
      <w:r w:rsidR="00EA6EAB">
        <w:rPr>
          <w:rStyle w:val="FootnoteReference"/>
          <w:rFonts w:cs="Times New Roman"/>
        </w:rPr>
        <w:footnoteReference w:id="92"/>
      </w:r>
      <w:r w:rsidR="00EA6EAB">
        <w:rPr>
          <w:rFonts w:cs="Times New Roman"/>
        </w:rPr>
        <w:t xml:space="preserve"> Further, Staff contends that </w:t>
      </w:r>
      <w:r w:rsidR="00D26D30">
        <w:rPr>
          <w:rFonts w:cs="Times New Roman"/>
        </w:rPr>
        <w:t>costs shifted to non-participating customers would likely far exceed the costs of any relevant make-ready infrastructure</w:t>
      </w:r>
      <w:r w:rsidR="00D26D30">
        <w:t>, because the rate discount applies to rates that include all of ETI’s system costs, including those for generation, transmission, and distribution.</w:t>
      </w:r>
      <w:r w:rsidR="00D26D30">
        <w:rPr>
          <w:rStyle w:val="FootnoteReference"/>
        </w:rPr>
        <w:footnoteReference w:id="93"/>
      </w:r>
      <w:r w:rsidR="00D26D30">
        <w:rPr>
          <w:rFonts w:cs="Times New Roman"/>
        </w:rPr>
        <w:t xml:space="preserve"> </w:t>
      </w:r>
      <w:r>
        <w:rPr>
          <w:rFonts w:cs="Times New Roman"/>
        </w:rPr>
        <w:t>Walm</w:t>
      </w:r>
      <w:r w:rsidR="00D26D30">
        <w:rPr>
          <w:rFonts w:cs="Times New Roman"/>
        </w:rPr>
        <w:t>art’s and Staff’s assertions</w:t>
      </w:r>
      <w:r w:rsidR="00985256">
        <w:rPr>
          <w:rFonts w:cs="Times New Roman"/>
        </w:rPr>
        <w:t xml:space="preserve">, </w:t>
      </w:r>
      <w:r w:rsidR="00D26D30">
        <w:rPr>
          <w:rFonts w:cs="Times New Roman"/>
        </w:rPr>
        <w:t>supported by evidence,</w:t>
      </w:r>
      <w:r w:rsidR="00D26D30">
        <w:rPr>
          <w:rStyle w:val="FootnoteReference"/>
          <w:rFonts w:cs="Times New Roman"/>
        </w:rPr>
        <w:footnoteReference w:id="94"/>
      </w:r>
      <w:r w:rsidR="00D26D30">
        <w:rPr>
          <w:rFonts w:cs="Times New Roman"/>
        </w:rPr>
        <w:t xml:space="preserve"> are</w:t>
      </w:r>
      <w:r>
        <w:rPr>
          <w:rFonts w:cs="Times New Roman"/>
        </w:rPr>
        <w:t xml:space="preserve"> contrary to the </w:t>
      </w:r>
      <w:r w:rsidR="0015026B">
        <w:rPr>
          <w:rFonts w:cs="Times New Roman"/>
        </w:rPr>
        <w:t xml:space="preserve">hypothetical </w:t>
      </w:r>
      <w:r>
        <w:rPr>
          <w:rFonts w:cs="Times New Roman"/>
        </w:rPr>
        <w:t>evidence relied on by ETI and the ALJ, related to ETI’s Ratepayer Impact Measure (RIM) analysis, which ETI contends demonstrates that</w:t>
      </w:r>
      <w:r w:rsidR="007C22DD">
        <w:rPr>
          <w:rFonts w:cs="Times New Roman"/>
        </w:rPr>
        <w:t xml:space="preserve"> the TEC</w:t>
      </w:r>
      <w:r w:rsidR="00105771">
        <w:rPr>
          <w:rFonts w:cs="Times New Roman"/>
        </w:rPr>
        <w:t>DA</w:t>
      </w:r>
      <w:r w:rsidR="007C22DD">
        <w:rPr>
          <w:rFonts w:cs="Times New Roman"/>
        </w:rPr>
        <w:t xml:space="preserve"> Rider would result in incremental revenues</w:t>
      </w:r>
      <w:r w:rsidR="00D26D30">
        <w:rPr>
          <w:rFonts w:cs="Times New Roman"/>
        </w:rPr>
        <w:t>,</w:t>
      </w:r>
      <w:r w:rsidR="007C22DD">
        <w:rPr>
          <w:rFonts w:cs="Times New Roman"/>
        </w:rPr>
        <w:t xml:space="preserve"> such that</w:t>
      </w:r>
      <w:r>
        <w:rPr>
          <w:rFonts w:cs="Times New Roman"/>
        </w:rPr>
        <w:t xml:space="preserve"> there will not be any cost-shifting</w:t>
      </w:r>
      <w:r w:rsidR="007C22DD">
        <w:rPr>
          <w:rFonts w:cs="Times New Roman"/>
        </w:rPr>
        <w:t xml:space="preserve"> to non-participating customers.</w:t>
      </w:r>
      <w:r w:rsidR="007C22DD">
        <w:rPr>
          <w:rStyle w:val="FootnoteReference"/>
          <w:rFonts w:cs="Times New Roman"/>
        </w:rPr>
        <w:footnoteReference w:id="95"/>
      </w:r>
      <w:r>
        <w:rPr>
          <w:rFonts w:cs="Times New Roman"/>
        </w:rPr>
        <w:t xml:space="preserve"> </w:t>
      </w:r>
      <w:r w:rsidR="007C22DD">
        <w:rPr>
          <w:rFonts w:cs="Times New Roman"/>
        </w:rPr>
        <w:t xml:space="preserve">Accordingly, Staff excepts </w:t>
      </w:r>
      <w:r w:rsidR="002256F9">
        <w:rPr>
          <w:rFonts w:cs="Times New Roman"/>
        </w:rPr>
        <w:t xml:space="preserve">to </w:t>
      </w:r>
      <w:r w:rsidR="007C22DD">
        <w:rPr>
          <w:rFonts w:cs="Times New Roman"/>
        </w:rPr>
        <w:t>the ALJ’s analysis to the extent that it does not address the evidence provided by Walmart</w:t>
      </w:r>
      <w:r w:rsidR="00D26D30">
        <w:rPr>
          <w:rFonts w:cs="Times New Roman"/>
        </w:rPr>
        <w:t xml:space="preserve"> and Staff</w:t>
      </w:r>
      <w:r w:rsidR="007C22DD">
        <w:rPr>
          <w:rFonts w:cs="Times New Roman"/>
        </w:rPr>
        <w:t>.</w:t>
      </w:r>
      <w:r w:rsidR="004F4430">
        <w:rPr>
          <w:rFonts w:cs="Times New Roman"/>
        </w:rPr>
        <w:t xml:space="preserve"> </w:t>
      </w:r>
    </w:p>
    <w:p w14:paraId="67F9B482" w14:textId="4CC2D68C" w:rsidR="00BC3836" w:rsidRDefault="00881F76" w:rsidP="00EA6EAB">
      <w:pPr>
        <w:pStyle w:val="ListParagraph"/>
        <w:ind w:firstLine="720"/>
        <w:jc w:val="both"/>
        <w:rPr>
          <w:rFonts w:cs="Times New Roman"/>
        </w:rPr>
      </w:pPr>
      <w:r>
        <w:rPr>
          <w:rFonts w:cs="Times New Roman"/>
        </w:rPr>
        <w:t>And regarding the RIM test</w:t>
      </w:r>
      <w:r w:rsidR="004F4430">
        <w:rPr>
          <w:rFonts w:cs="Times New Roman"/>
        </w:rPr>
        <w:t xml:space="preserve">, Staff contends that </w:t>
      </w:r>
      <w:r>
        <w:rPr>
          <w:rFonts w:cs="Times New Roman"/>
        </w:rPr>
        <w:t>it</w:t>
      </w:r>
      <w:r w:rsidR="004F4430">
        <w:rPr>
          <w:rFonts w:cs="Times New Roman"/>
        </w:rPr>
        <w:t xml:space="preserve"> is speculative and should not serve as the basis to depart from cost-based rates</w:t>
      </w:r>
      <w:r w:rsidR="00823A0B">
        <w:rPr>
          <w:rFonts w:cs="Times New Roman"/>
        </w:rPr>
        <w:t>.</w:t>
      </w:r>
      <w:r w:rsidR="00823A0B">
        <w:rPr>
          <w:rStyle w:val="FootnoteReference"/>
          <w:rFonts w:cs="Times New Roman"/>
        </w:rPr>
        <w:footnoteReference w:id="96"/>
      </w:r>
      <w:r w:rsidR="002256F9">
        <w:rPr>
          <w:rFonts w:cs="Times New Roman"/>
        </w:rPr>
        <w:t xml:space="preserve"> Staff also agrees with the Office of Public Utility Counsel (OPUC) that the RIM test only provides the Commission with an unproven assumption by ETI that the TECDA Rider will not result in cost shifting.</w:t>
      </w:r>
      <w:r w:rsidR="002256F9">
        <w:rPr>
          <w:rStyle w:val="FootnoteReference"/>
          <w:rFonts w:cs="Times New Roman"/>
        </w:rPr>
        <w:footnoteReference w:id="97"/>
      </w:r>
      <w:r w:rsidR="002256F9">
        <w:rPr>
          <w:rFonts w:cs="Times New Roman"/>
        </w:rPr>
        <w:t xml:space="preserve"> </w:t>
      </w:r>
      <w:r w:rsidR="005411B3">
        <w:rPr>
          <w:rFonts w:cs="Times New Roman"/>
        </w:rPr>
        <w:t>Ultimately</w:t>
      </w:r>
      <w:r w:rsidR="002256F9">
        <w:rPr>
          <w:rFonts w:cs="Times New Roman"/>
        </w:rPr>
        <w:t xml:space="preserve">, the ALJ was originally </w:t>
      </w:r>
      <w:r w:rsidR="002256F9">
        <w:rPr>
          <w:rFonts w:cs="Times New Roman"/>
        </w:rPr>
        <w:lastRenderedPageBreak/>
        <w:t>correct in the initial proposal for decision on this issue that the RIM test only presents a hypothetical situation</w:t>
      </w:r>
      <w:r w:rsidR="005411B3">
        <w:rPr>
          <w:rFonts w:cs="Times New Roman"/>
        </w:rPr>
        <w:t>.</w:t>
      </w:r>
      <w:r w:rsidR="002256F9">
        <w:rPr>
          <w:rStyle w:val="FootnoteReference"/>
          <w:rFonts w:cs="Times New Roman"/>
        </w:rPr>
        <w:footnoteReference w:id="98"/>
      </w:r>
      <w:r w:rsidR="00EA6EAB">
        <w:rPr>
          <w:rFonts w:cs="Times New Roman"/>
        </w:rPr>
        <w:t xml:space="preserve"> </w:t>
      </w:r>
      <w:r w:rsidR="00BC3836">
        <w:rPr>
          <w:rFonts w:cs="Times New Roman"/>
        </w:rPr>
        <w:t xml:space="preserve">Next, Staff continues to agree with OPUC that the TECDA Rider is a discounted rate under PURA </w:t>
      </w:r>
      <w:r w:rsidR="00BC3836" w:rsidRPr="00C75CA7">
        <w:rPr>
          <w:rFonts w:cs="Times New Roman"/>
        </w:rPr>
        <w:t>§</w:t>
      </w:r>
      <w:r w:rsidR="00BC3836">
        <w:rPr>
          <w:rFonts w:cs="Times New Roman"/>
        </w:rPr>
        <w:t xml:space="preserve"> 36.007.</w:t>
      </w:r>
      <w:r w:rsidR="00EA6EAB">
        <w:rPr>
          <w:rStyle w:val="FootnoteReference"/>
          <w:rFonts w:cs="Times New Roman"/>
        </w:rPr>
        <w:footnoteReference w:id="99"/>
      </w:r>
      <w:r w:rsidR="00BC3836">
        <w:rPr>
          <w:rFonts w:cs="Times New Roman"/>
        </w:rPr>
        <w:t xml:space="preserve">  </w:t>
      </w:r>
    </w:p>
    <w:p w14:paraId="0D4F2D86" w14:textId="4F90DECC" w:rsidR="00BF4F9D" w:rsidRDefault="00BF4F9D" w:rsidP="00EA6EAB">
      <w:pPr>
        <w:pStyle w:val="ListParagraph"/>
        <w:ind w:firstLine="720"/>
        <w:jc w:val="both"/>
      </w:pPr>
      <w:r>
        <w:rPr>
          <w:rFonts w:cs="Times New Roman"/>
        </w:rPr>
        <w:t xml:space="preserve">Lastly, Staff disagrees with the ALJ that the </w:t>
      </w:r>
      <w:r>
        <w:t>TECDA Rider is not preferential, prejudicial, or discriminatory.</w:t>
      </w:r>
      <w:r w:rsidR="00EE0D1A">
        <w:rPr>
          <w:rStyle w:val="FootnoteReference"/>
        </w:rPr>
        <w:footnoteReference w:id="100"/>
      </w:r>
      <w:r>
        <w:t xml:space="preserve"> Specifically, the rider would allow qualifying participating customers to pay only a portion of their capacity costs, which they cause ETI to incur and thus would unreasonably discriminate against a non-participating customer with identical usage and load.</w:t>
      </w:r>
      <w:r>
        <w:rPr>
          <w:rStyle w:val="FootnoteReference"/>
        </w:rPr>
        <w:footnoteReference w:id="101"/>
      </w:r>
      <w:r>
        <w:t xml:space="preserve"> And, as confirmed by ETI, such non-participating customers may potentially end up paying much more than the participating customers.</w:t>
      </w:r>
      <w:r>
        <w:rPr>
          <w:rStyle w:val="FootnoteReference"/>
        </w:rPr>
        <w:footnoteReference w:id="102"/>
      </w:r>
      <w:r w:rsidR="00DE6C75">
        <w:t xml:space="preserve"> Accordingly, the TECDA Rider is preferential, prejudicial, and discriminatory to such identical non-participating customers. Additionally, it is unduly preferential and discriminatory based on Commission precedent in Docket No. 22344, under which the Commission relevantly did not include billing demand adjustments for select customer groups when setting the rate design for demand-metered classes such as ETI’s General Service rate class.</w:t>
      </w:r>
      <w:r w:rsidR="00DE6C75">
        <w:rPr>
          <w:rStyle w:val="FootnoteReference"/>
        </w:rPr>
        <w:footnoteReference w:id="103"/>
      </w:r>
      <w:r w:rsidR="00217668">
        <w:t xml:space="preserve"> The Commission also determined that the demand-metered classes should be bill based on the non-coincident peak (NCP) demand,</w:t>
      </w:r>
      <w:r w:rsidR="00217668">
        <w:rPr>
          <w:rStyle w:val="FootnoteReference"/>
        </w:rPr>
        <w:footnoteReference w:id="104"/>
      </w:r>
      <w:r w:rsidR="00217668">
        <w:t xml:space="preserve"> especially where the necessary metering is available.</w:t>
      </w:r>
      <w:r w:rsidR="00217668">
        <w:rPr>
          <w:rStyle w:val="FootnoteReference"/>
        </w:rPr>
        <w:footnoteReference w:id="105"/>
      </w:r>
      <w:r w:rsidR="00217668">
        <w:t xml:space="preserve"> In direct contravention with that precedent, the demand adjustment in the TECDA Rider applies to a select customer group and would result in such customers being billed for facility/distribution charges based on monthly kWh energy usage and not NCP demand.</w:t>
      </w:r>
      <w:r w:rsidR="00217668">
        <w:rPr>
          <w:rStyle w:val="FootnoteReference"/>
        </w:rPr>
        <w:footnoteReference w:id="106"/>
      </w:r>
    </w:p>
    <w:p w14:paraId="52B184F8" w14:textId="2380DC21" w:rsidR="00823B95" w:rsidRDefault="00217668" w:rsidP="0009754D">
      <w:pPr>
        <w:pStyle w:val="ListParagraph"/>
        <w:ind w:firstLine="720"/>
        <w:jc w:val="both"/>
        <w:rPr>
          <w:bCs/>
          <w:color w:val="000000" w:themeColor="text1"/>
        </w:rPr>
      </w:pPr>
      <w:r>
        <w:lastRenderedPageBreak/>
        <w:t xml:space="preserve">In response to the precedent under Docket No. 22344, </w:t>
      </w:r>
      <w:r w:rsidR="00C0387F">
        <w:t xml:space="preserve">ETI attempts to equate the TECDA Rider as a rate design similar to that of the billing demand adjustments allowed under 16 TAC </w:t>
      </w:r>
      <w:r w:rsidR="00C0387F" w:rsidRPr="00FE11BB">
        <w:t>§</w:t>
      </w:r>
      <w:r w:rsidR="00C0387F">
        <w:t> 25.244.</w:t>
      </w:r>
      <w:r w:rsidR="00C0387F">
        <w:rPr>
          <w:rStyle w:val="FootnoteReference"/>
        </w:rPr>
        <w:footnoteReference w:id="107"/>
      </w:r>
      <w:r w:rsidR="00C0387F">
        <w:t xml:space="preserve"> ETI’s argument regarding this rule is deeply misleading for many reasons.</w:t>
      </w:r>
      <w:r w:rsidR="00C0387F">
        <w:rPr>
          <w:rStyle w:val="FootnoteReference"/>
        </w:rPr>
        <w:footnoteReference w:id="108"/>
      </w:r>
      <w:r w:rsidR="00C0387F">
        <w:t xml:space="preserve"> First, 16 TAC </w:t>
      </w:r>
      <w:r w:rsidR="00C0387F" w:rsidRPr="00FE11BB">
        <w:t>§</w:t>
      </w:r>
      <w:r w:rsidR="00C0387F">
        <w:t xml:space="preserve"> 25.244 applies to transmission and distribution utilities (TDU)</w:t>
      </w:r>
      <w:r w:rsidR="00B44B18">
        <w:t>,</w:t>
      </w:r>
      <w:r w:rsidR="00C0387F">
        <w:t xml:space="preserve"> and ETI is not a TDU but a vertically integrated electric utility.</w:t>
      </w:r>
      <w:r w:rsidR="00C0387F">
        <w:rPr>
          <w:rStyle w:val="FootnoteReference"/>
        </w:rPr>
        <w:footnoteReference w:id="109"/>
      </w:r>
      <w:r w:rsidR="00C0387F">
        <w:t xml:space="preserve"> More substantively, 16 TAC </w:t>
      </w:r>
      <w:r w:rsidR="00C0387F" w:rsidRPr="00FE11BB">
        <w:t>§</w:t>
      </w:r>
      <w:r w:rsidR="00C0387F">
        <w:t xml:space="preserve"> 25.244 prohibits the use of a demand </w:t>
      </w:r>
      <w:r w:rsidR="00C0387F">
        <w:rPr>
          <w:i/>
          <w:iCs/>
        </w:rPr>
        <w:t xml:space="preserve">ratchet </w:t>
      </w:r>
      <w:r w:rsidR="00C0387F">
        <w:t xml:space="preserve">for </w:t>
      </w:r>
      <w:r w:rsidR="00C0387F" w:rsidRPr="009F1913">
        <w:rPr>
          <w:i/>
          <w:iCs/>
        </w:rPr>
        <w:t>all</w:t>
      </w:r>
      <w:r w:rsidR="00C0387F">
        <w:t xml:space="preserve"> low load factor customers, and in no way authorizes the exemption from any portion of demand </w:t>
      </w:r>
      <w:r w:rsidR="00C0387F">
        <w:rPr>
          <w:i/>
          <w:iCs/>
        </w:rPr>
        <w:t xml:space="preserve">charges </w:t>
      </w:r>
      <w:r w:rsidR="00C0387F">
        <w:t xml:space="preserve">for a </w:t>
      </w:r>
      <w:r w:rsidR="00C0387F" w:rsidRPr="009F1913">
        <w:rPr>
          <w:i/>
          <w:iCs/>
        </w:rPr>
        <w:t>select group</w:t>
      </w:r>
      <w:r w:rsidR="00C0387F">
        <w:t xml:space="preserve"> of customers as proposed by ETI.</w:t>
      </w:r>
      <w:r w:rsidR="009F48AF">
        <w:rPr>
          <w:rStyle w:val="FootnoteReference"/>
        </w:rPr>
        <w:footnoteReference w:id="110"/>
      </w:r>
      <w:r w:rsidR="00C0387F">
        <w:t xml:space="preserve"> Indeed, in Project No. 39829, a proposal to exempt from demand ratchets a select group of customers, houses of worship, was considered and rejected by the Commission, and a broad exemption from demand ratchet billing provisions was adopted for all low-load factor customers.</w:t>
      </w:r>
      <w:r w:rsidR="00C0387F">
        <w:rPr>
          <w:rStyle w:val="FootnoteReference"/>
        </w:rPr>
        <w:footnoteReference w:id="111"/>
      </w:r>
      <w:r w:rsidR="00C0387F">
        <w:t xml:space="preserve"> ETI also disregards that 16 TAC </w:t>
      </w:r>
      <w:r w:rsidR="00C0387F" w:rsidRPr="00FE11BB">
        <w:t>§</w:t>
      </w:r>
      <w:r w:rsidR="00C0387F">
        <w:t xml:space="preserve"> 25.244(c) states that “[t]his subsection shall not be applied in a manner that would shift costs to other customer classes.”</w:t>
      </w:r>
      <w:r w:rsidR="004657E8">
        <w:rPr>
          <w:rStyle w:val="FootnoteReference"/>
        </w:rPr>
        <w:footnoteReference w:id="112"/>
      </w:r>
      <w:r w:rsidR="00C0387F">
        <w:t xml:space="preserve"> Furthermore, eliminating demand ratchets actually leads to an increase in demand charge rates, and not a discount to rates as the TECDA Rider offers.</w:t>
      </w:r>
      <w:r w:rsidR="004657E8">
        <w:rPr>
          <w:rStyle w:val="FootnoteReference"/>
        </w:rPr>
        <w:footnoteReference w:id="113"/>
      </w:r>
      <w:r w:rsidR="00C0387F">
        <w:t xml:space="preserve"> Specifically, in Project No. 39829, “</w:t>
      </w:r>
      <w:r w:rsidR="00C0387F">
        <w:rPr>
          <w:bCs/>
          <w:color w:val="000000" w:themeColor="text1"/>
        </w:rPr>
        <w:t>[t]</w:t>
      </w:r>
      <w:r w:rsidR="00C0387F" w:rsidRPr="009F1913">
        <w:rPr>
          <w:bCs/>
          <w:color w:val="000000" w:themeColor="text1"/>
        </w:rPr>
        <w:t>he commission note</w:t>
      </w:r>
      <w:r w:rsidR="00C0387F">
        <w:rPr>
          <w:bCs/>
          <w:color w:val="000000" w:themeColor="text1"/>
        </w:rPr>
        <w:t>[d]</w:t>
      </w:r>
      <w:r w:rsidR="00C0387F" w:rsidRPr="009F1913">
        <w:rPr>
          <w:bCs/>
          <w:color w:val="000000" w:themeColor="text1"/>
        </w:rPr>
        <w:t xml:space="preserve"> that HB 1064 does not mandate that demand ratchets be abolished completely</w:t>
      </w:r>
      <w:r w:rsidR="00C0387F">
        <w:rPr>
          <w:bCs/>
          <w:color w:val="000000" w:themeColor="text1"/>
        </w:rPr>
        <w:t>…[and that]</w:t>
      </w:r>
      <w:r w:rsidR="00C0387F" w:rsidRPr="009F1913">
        <w:rPr>
          <w:bCs/>
          <w:color w:val="000000" w:themeColor="text1"/>
        </w:rPr>
        <w:t xml:space="preserve"> as a practical matter, doing so would result in a significant reduction of the class’s billing determinants and a potentially dramatic adverse impact on affected customers’ rates.</w:t>
      </w:r>
      <w:r w:rsidR="00C0387F">
        <w:rPr>
          <w:bCs/>
          <w:color w:val="000000" w:themeColor="text1"/>
        </w:rPr>
        <w:t>”</w:t>
      </w:r>
      <w:r w:rsidR="00C0387F">
        <w:rPr>
          <w:rStyle w:val="FootnoteReference"/>
          <w:bCs/>
          <w:color w:val="000000" w:themeColor="text1"/>
        </w:rPr>
        <w:footnoteReference w:id="114"/>
      </w:r>
      <w:r w:rsidR="00C0387F">
        <w:rPr>
          <w:bCs/>
          <w:color w:val="000000" w:themeColor="text1"/>
        </w:rPr>
        <w:t xml:space="preserve"> ETI’s attempts to confuse the issue should be disregarde</w:t>
      </w:r>
      <w:r w:rsidR="004057BE">
        <w:rPr>
          <w:bCs/>
          <w:color w:val="000000" w:themeColor="text1"/>
        </w:rPr>
        <w:t>d—</w:t>
      </w:r>
      <w:r w:rsidR="00C0387F">
        <w:rPr>
          <w:bCs/>
          <w:color w:val="000000" w:themeColor="text1"/>
        </w:rPr>
        <w:t>the issue with the demand charge waivers for EV charging under the TECDA Rider is entirely distinct from the issue of demand ratchet waivers for all low-load factor customers.</w:t>
      </w:r>
      <w:r w:rsidR="001841CA">
        <w:rPr>
          <w:rStyle w:val="FootnoteReference"/>
          <w:bCs/>
          <w:color w:val="000000" w:themeColor="text1"/>
        </w:rPr>
        <w:footnoteReference w:id="115"/>
      </w:r>
      <w:r w:rsidR="0009754D">
        <w:rPr>
          <w:bCs/>
          <w:color w:val="000000" w:themeColor="text1"/>
        </w:rPr>
        <w:t xml:space="preserve"> </w:t>
      </w:r>
    </w:p>
    <w:p w14:paraId="27630967" w14:textId="4E7B2FF1" w:rsidR="0009754D" w:rsidRPr="0009754D" w:rsidRDefault="0009754D" w:rsidP="0009754D">
      <w:pPr>
        <w:pStyle w:val="ListParagraph"/>
        <w:ind w:firstLine="720"/>
        <w:jc w:val="both"/>
        <w:rPr>
          <w:bCs/>
          <w:color w:val="000000" w:themeColor="text1"/>
        </w:rPr>
      </w:pPr>
      <w:r w:rsidRPr="0009754D">
        <w:rPr>
          <w:bCs/>
          <w:color w:val="000000" w:themeColor="text1"/>
        </w:rPr>
        <w:lastRenderedPageBreak/>
        <w:t xml:space="preserve">Even if there was good cause </w:t>
      </w:r>
      <w:r>
        <w:rPr>
          <w:bCs/>
          <w:color w:val="000000" w:themeColor="text1"/>
        </w:rPr>
        <w:t xml:space="preserve">to apply a billing demand adjustment </w:t>
      </w:r>
      <w:r w:rsidRPr="0009754D">
        <w:rPr>
          <w:bCs/>
          <w:color w:val="000000" w:themeColor="text1"/>
        </w:rPr>
        <w:t xml:space="preserve">for </w:t>
      </w:r>
      <w:r>
        <w:rPr>
          <w:bCs/>
          <w:color w:val="000000" w:themeColor="text1"/>
        </w:rPr>
        <w:t xml:space="preserve">a specific group of </w:t>
      </w:r>
      <w:r w:rsidRPr="0009754D">
        <w:rPr>
          <w:bCs/>
          <w:color w:val="000000" w:themeColor="text1"/>
        </w:rPr>
        <w:t>customers</w:t>
      </w:r>
      <w:r>
        <w:rPr>
          <w:bCs/>
          <w:color w:val="000000" w:themeColor="text1"/>
        </w:rPr>
        <w:t>, such good cause has not been demonstrated in this proceeding. Specifically, ETI attempts to distinguish EV charging station customers from traditional electric customers but provides no evidence to support the distinction, such that there is no reason to consider EV charging station customers different from other customers with low load factors.</w:t>
      </w:r>
      <w:r>
        <w:rPr>
          <w:rStyle w:val="FootnoteReference"/>
          <w:bCs/>
          <w:color w:val="000000" w:themeColor="text1"/>
        </w:rPr>
        <w:footnoteReference w:id="116"/>
      </w:r>
      <w:r>
        <w:rPr>
          <w:bCs/>
          <w:color w:val="000000" w:themeColor="text1"/>
        </w:rPr>
        <w:t xml:space="preserve"> </w:t>
      </w:r>
      <w:r w:rsidR="00823B95">
        <w:rPr>
          <w:bCs/>
          <w:color w:val="000000" w:themeColor="text1"/>
        </w:rPr>
        <w:t>Accordingly, the TECDA Rider unreasonably discriminates against non-participating customers with identical usage and load and results in unduly preferential treatment for participating customer</w:t>
      </w:r>
      <w:r w:rsidR="00F54B2B">
        <w:rPr>
          <w:bCs/>
          <w:color w:val="000000" w:themeColor="text1"/>
        </w:rPr>
        <w:t>s</w:t>
      </w:r>
      <w:r w:rsidR="001C58DB">
        <w:rPr>
          <w:bCs/>
          <w:color w:val="000000" w:themeColor="text1"/>
        </w:rPr>
        <w:t xml:space="preserve">. </w:t>
      </w:r>
    </w:p>
    <w:p w14:paraId="17E66FA1" w14:textId="67CA026A" w:rsidR="00217668" w:rsidRPr="00E23D35" w:rsidRDefault="00217668" w:rsidP="00EA6EAB">
      <w:pPr>
        <w:pStyle w:val="ListParagraph"/>
        <w:ind w:firstLine="720"/>
        <w:jc w:val="both"/>
        <w:rPr>
          <w:rFonts w:cs="Times New Roman"/>
        </w:rPr>
      </w:pPr>
    </w:p>
    <w:p w14:paraId="423617FA" w14:textId="64DC4465" w:rsidR="00344167" w:rsidRDefault="00344167" w:rsidP="00344167">
      <w:pPr>
        <w:pStyle w:val="Heading1"/>
        <w:numPr>
          <w:ilvl w:val="0"/>
          <w:numId w:val="2"/>
        </w:numPr>
        <w:spacing w:after="0" w:line="360" w:lineRule="auto"/>
        <w:ind w:left="0" w:firstLine="0"/>
        <w:rPr>
          <w:sz w:val="24"/>
          <w:szCs w:val="18"/>
        </w:rPr>
      </w:pPr>
      <w:bookmarkStart w:id="3" w:name="_Toc164041277"/>
      <w:r w:rsidRPr="00344167">
        <w:rPr>
          <w:sz w:val="24"/>
          <w:szCs w:val="18"/>
        </w:rPr>
        <w:t>CONCLUSION</w:t>
      </w:r>
      <w:bookmarkEnd w:id="3"/>
    </w:p>
    <w:p w14:paraId="1F589AA0" w14:textId="797858C2" w:rsidR="00F54B2B" w:rsidRPr="00701B1B" w:rsidRDefault="00F54B2B" w:rsidP="00F54B2B">
      <w:pPr>
        <w:pStyle w:val="ListParagraph"/>
        <w:ind w:firstLine="720"/>
        <w:jc w:val="both"/>
      </w:pPr>
      <w:r w:rsidRPr="00701B1B">
        <w:rPr>
          <w:rFonts w:cs="Times New Roman"/>
          <w:bCs/>
          <w:szCs w:val="24"/>
        </w:rPr>
        <w:t xml:space="preserve">Based on the foregoing discussion, Staff </w:t>
      </w:r>
      <w:r>
        <w:rPr>
          <w:rFonts w:cs="Times New Roman"/>
          <w:bCs/>
          <w:szCs w:val="24"/>
        </w:rPr>
        <w:t>excepts to the PFD’s recommendations and findings that ETI’s TECI and TECDA Riders should be approved</w:t>
      </w:r>
      <w:r>
        <w:rPr>
          <w:rFonts w:eastAsia="Times New Roman" w:cs="Times New Roman"/>
          <w:szCs w:val="24"/>
        </w:rPr>
        <w:t>. Instead, if the Commission desires to establish or facilitate EV-specific treatments in ETI’s rates and tariffs, ETI should be allowed to request the establishment of an EV rate class in a future proceeding.</w:t>
      </w:r>
      <w:r w:rsidRPr="00701B1B">
        <w:t xml:space="preserve"> Staff respectfully </w:t>
      </w:r>
      <w:r>
        <w:t>requests that these exceptions to the PFD and Staff’s recommendations for an EV rate class be taken into consideration</w:t>
      </w:r>
      <w:r w:rsidRPr="00701B1B">
        <w:t>.</w:t>
      </w:r>
    </w:p>
    <w:p w14:paraId="7ECFD98A" w14:textId="77777777" w:rsidR="00FB3575" w:rsidRDefault="00FB3575" w:rsidP="00CE2905">
      <w:pPr>
        <w:pStyle w:val="ListParagraph"/>
        <w:ind w:firstLine="720"/>
        <w:jc w:val="both"/>
      </w:pPr>
    </w:p>
    <w:p w14:paraId="57627532" w14:textId="77777777" w:rsidR="00105771" w:rsidRDefault="00105771" w:rsidP="00B77508">
      <w:pPr>
        <w:keepNext w:val="0"/>
        <w:autoSpaceDE w:val="0"/>
        <w:autoSpaceDN w:val="0"/>
        <w:adjustRightInd w:val="0"/>
        <w:spacing w:after="0"/>
        <w:ind w:firstLine="0"/>
        <w:outlineLvl w:val="9"/>
        <w:rPr>
          <w:bCs/>
        </w:rPr>
      </w:pPr>
    </w:p>
    <w:p w14:paraId="4F775953" w14:textId="77777777" w:rsidR="00105771" w:rsidRDefault="00105771" w:rsidP="00B77508">
      <w:pPr>
        <w:keepNext w:val="0"/>
        <w:autoSpaceDE w:val="0"/>
        <w:autoSpaceDN w:val="0"/>
        <w:adjustRightInd w:val="0"/>
        <w:spacing w:after="0"/>
        <w:ind w:firstLine="0"/>
        <w:outlineLvl w:val="9"/>
        <w:rPr>
          <w:bCs/>
        </w:rPr>
      </w:pPr>
    </w:p>
    <w:p w14:paraId="3E30F790" w14:textId="77777777" w:rsidR="00105771" w:rsidRDefault="00105771" w:rsidP="00B77508">
      <w:pPr>
        <w:keepNext w:val="0"/>
        <w:autoSpaceDE w:val="0"/>
        <w:autoSpaceDN w:val="0"/>
        <w:adjustRightInd w:val="0"/>
        <w:spacing w:after="0"/>
        <w:ind w:firstLine="0"/>
        <w:outlineLvl w:val="9"/>
        <w:rPr>
          <w:bCs/>
        </w:rPr>
      </w:pPr>
    </w:p>
    <w:p w14:paraId="7BB801B0" w14:textId="77777777" w:rsidR="00105771" w:rsidRDefault="00105771" w:rsidP="00B77508">
      <w:pPr>
        <w:keepNext w:val="0"/>
        <w:autoSpaceDE w:val="0"/>
        <w:autoSpaceDN w:val="0"/>
        <w:adjustRightInd w:val="0"/>
        <w:spacing w:after="0"/>
        <w:ind w:firstLine="0"/>
        <w:outlineLvl w:val="9"/>
        <w:rPr>
          <w:bCs/>
        </w:rPr>
      </w:pPr>
    </w:p>
    <w:p w14:paraId="61DE53C1" w14:textId="77777777" w:rsidR="00105771" w:rsidRDefault="00105771" w:rsidP="00B77508">
      <w:pPr>
        <w:keepNext w:val="0"/>
        <w:autoSpaceDE w:val="0"/>
        <w:autoSpaceDN w:val="0"/>
        <w:adjustRightInd w:val="0"/>
        <w:spacing w:after="0"/>
        <w:ind w:firstLine="0"/>
        <w:outlineLvl w:val="9"/>
        <w:rPr>
          <w:bCs/>
        </w:rPr>
      </w:pPr>
    </w:p>
    <w:p w14:paraId="22AEA189" w14:textId="77777777" w:rsidR="00105771" w:rsidRDefault="00105771" w:rsidP="00B77508">
      <w:pPr>
        <w:keepNext w:val="0"/>
        <w:autoSpaceDE w:val="0"/>
        <w:autoSpaceDN w:val="0"/>
        <w:adjustRightInd w:val="0"/>
        <w:spacing w:after="0"/>
        <w:ind w:firstLine="0"/>
        <w:outlineLvl w:val="9"/>
        <w:rPr>
          <w:bCs/>
        </w:rPr>
      </w:pPr>
    </w:p>
    <w:p w14:paraId="544459F7" w14:textId="77777777" w:rsidR="00105771" w:rsidRDefault="00105771" w:rsidP="00B77508">
      <w:pPr>
        <w:keepNext w:val="0"/>
        <w:autoSpaceDE w:val="0"/>
        <w:autoSpaceDN w:val="0"/>
        <w:adjustRightInd w:val="0"/>
        <w:spacing w:after="0"/>
        <w:ind w:firstLine="0"/>
        <w:outlineLvl w:val="9"/>
        <w:rPr>
          <w:bCs/>
        </w:rPr>
      </w:pPr>
    </w:p>
    <w:p w14:paraId="5061BB9A" w14:textId="77777777" w:rsidR="00105771" w:rsidRDefault="00105771" w:rsidP="00B77508">
      <w:pPr>
        <w:keepNext w:val="0"/>
        <w:autoSpaceDE w:val="0"/>
        <w:autoSpaceDN w:val="0"/>
        <w:adjustRightInd w:val="0"/>
        <w:spacing w:after="0"/>
        <w:ind w:firstLine="0"/>
        <w:outlineLvl w:val="9"/>
        <w:rPr>
          <w:bCs/>
        </w:rPr>
      </w:pPr>
    </w:p>
    <w:p w14:paraId="2883C463" w14:textId="77777777" w:rsidR="00105771" w:rsidRDefault="00105771" w:rsidP="00B77508">
      <w:pPr>
        <w:keepNext w:val="0"/>
        <w:autoSpaceDE w:val="0"/>
        <w:autoSpaceDN w:val="0"/>
        <w:adjustRightInd w:val="0"/>
        <w:spacing w:after="0"/>
        <w:ind w:firstLine="0"/>
        <w:outlineLvl w:val="9"/>
        <w:rPr>
          <w:bCs/>
        </w:rPr>
      </w:pPr>
    </w:p>
    <w:p w14:paraId="21F56BEE" w14:textId="77777777" w:rsidR="00105771" w:rsidRDefault="00105771" w:rsidP="00B77508">
      <w:pPr>
        <w:keepNext w:val="0"/>
        <w:autoSpaceDE w:val="0"/>
        <w:autoSpaceDN w:val="0"/>
        <w:adjustRightInd w:val="0"/>
        <w:spacing w:after="0"/>
        <w:ind w:firstLine="0"/>
        <w:outlineLvl w:val="9"/>
        <w:rPr>
          <w:bCs/>
        </w:rPr>
      </w:pPr>
    </w:p>
    <w:p w14:paraId="020888FF" w14:textId="77777777" w:rsidR="00105771" w:rsidRDefault="00105771" w:rsidP="00B77508">
      <w:pPr>
        <w:keepNext w:val="0"/>
        <w:autoSpaceDE w:val="0"/>
        <w:autoSpaceDN w:val="0"/>
        <w:adjustRightInd w:val="0"/>
        <w:spacing w:after="0"/>
        <w:ind w:firstLine="0"/>
        <w:outlineLvl w:val="9"/>
        <w:rPr>
          <w:bCs/>
        </w:rPr>
      </w:pPr>
    </w:p>
    <w:p w14:paraId="697D1071" w14:textId="77777777" w:rsidR="00105771" w:rsidRDefault="00105771" w:rsidP="00B77508">
      <w:pPr>
        <w:keepNext w:val="0"/>
        <w:autoSpaceDE w:val="0"/>
        <w:autoSpaceDN w:val="0"/>
        <w:adjustRightInd w:val="0"/>
        <w:spacing w:after="0"/>
        <w:ind w:firstLine="0"/>
        <w:outlineLvl w:val="9"/>
        <w:rPr>
          <w:bCs/>
        </w:rPr>
      </w:pPr>
    </w:p>
    <w:p w14:paraId="18B70758" w14:textId="77777777" w:rsidR="00105771" w:rsidRDefault="00105771" w:rsidP="00B77508">
      <w:pPr>
        <w:keepNext w:val="0"/>
        <w:autoSpaceDE w:val="0"/>
        <w:autoSpaceDN w:val="0"/>
        <w:adjustRightInd w:val="0"/>
        <w:spacing w:after="0"/>
        <w:ind w:firstLine="0"/>
        <w:outlineLvl w:val="9"/>
        <w:rPr>
          <w:bCs/>
        </w:rPr>
      </w:pPr>
    </w:p>
    <w:p w14:paraId="361C6E54" w14:textId="32AA0982" w:rsidR="00B77508" w:rsidRPr="00957670" w:rsidRDefault="00B77508" w:rsidP="00B77508">
      <w:pPr>
        <w:keepNext w:val="0"/>
        <w:autoSpaceDE w:val="0"/>
        <w:autoSpaceDN w:val="0"/>
        <w:adjustRightInd w:val="0"/>
        <w:spacing w:after="0"/>
        <w:ind w:firstLine="0"/>
        <w:outlineLvl w:val="9"/>
        <w:rPr>
          <w:szCs w:val="20"/>
        </w:rPr>
      </w:pPr>
      <w:r w:rsidRPr="00957670">
        <w:rPr>
          <w:bCs/>
        </w:rPr>
        <w:lastRenderedPageBreak/>
        <w:t xml:space="preserve">Dated: </w:t>
      </w:r>
      <w:r w:rsidRPr="00957670">
        <w:rPr>
          <w:bCs/>
        </w:rPr>
        <w:fldChar w:fldCharType="begin"/>
      </w:r>
      <w:r w:rsidRPr="00957670">
        <w:rPr>
          <w:bCs/>
        </w:rPr>
        <w:instrText xml:space="preserve"> DATE \@ "MMMM d, yyyy" </w:instrText>
      </w:r>
      <w:r w:rsidRPr="00957670">
        <w:rPr>
          <w:bCs/>
        </w:rPr>
        <w:fldChar w:fldCharType="separate"/>
      </w:r>
      <w:r w:rsidR="005F4973">
        <w:rPr>
          <w:bCs/>
          <w:noProof/>
        </w:rPr>
        <w:t>August 1, 2024</w:t>
      </w:r>
      <w:r w:rsidRPr="00957670">
        <w:rPr>
          <w:bCs/>
        </w:rPr>
        <w:fldChar w:fldCharType="end"/>
      </w:r>
    </w:p>
    <w:p w14:paraId="7BC167ED" w14:textId="77777777" w:rsidR="00B77508" w:rsidRPr="00957670" w:rsidRDefault="00B77508" w:rsidP="00B77508">
      <w:pPr>
        <w:keepNext w:val="0"/>
        <w:spacing w:after="0"/>
        <w:ind w:firstLine="0"/>
        <w:outlineLvl w:val="9"/>
        <w:rPr>
          <w:bCs/>
        </w:rPr>
      </w:pPr>
    </w:p>
    <w:p w14:paraId="45BCE004" w14:textId="77777777" w:rsidR="00B77508" w:rsidRPr="00837C60" w:rsidRDefault="00B77508" w:rsidP="00B77508">
      <w:pPr>
        <w:keepNext w:val="0"/>
        <w:overflowPunct w:val="0"/>
        <w:autoSpaceDE w:val="0"/>
        <w:autoSpaceDN w:val="0"/>
        <w:adjustRightInd w:val="0"/>
        <w:spacing w:after="0" w:line="240" w:lineRule="auto"/>
        <w:ind w:firstLine="0"/>
        <w:textAlignment w:val="baseline"/>
        <w:outlineLvl w:val="9"/>
      </w:pPr>
    </w:p>
    <w:p w14:paraId="79EAC919" w14:textId="77777777" w:rsidR="00B77508" w:rsidRPr="00837C60" w:rsidRDefault="00B77508" w:rsidP="00B77508">
      <w:pPr>
        <w:keepNext w:val="0"/>
        <w:spacing w:after="0" w:line="480" w:lineRule="auto"/>
        <w:ind w:left="3600"/>
        <w:outlineLvl w:val="9"/>
      </w:pPr>
      <w:r w:rsidRPr="00837C60">
        <w:t>Respectfully submitted,</w:t>
      </w:r>
    </w:p>
    <w:p w14:paraId="3F31C782" w14:textId="77777777" w:rsidR="00B77508" w:rsidRPr="00837C60" w:rsidRDefault="00B77508" w:rsidP="00B77508">
      <w:pPr>
        <w:keepNext w:val="0"/>
        <w:spacing w:after="0" w:line="240" w:lineRule="auto"/>
        <w:ind w:left="4320" w:firstLine="0"/>
        <w:contextualSpacing/>
        <w:outlineLvl w:val="9"/>
        <w:rPr>
          <w:b/>
        </w:rPr>
      </w:pPr>
      <w:r w:rsidRPr="00837C60">
        <w:rPr>
          <w:b/>
        </w:rPr>
        <w:t xml:space="preserve">PUBLIC UTILITY COMMISSION OF TEXAS </w:t>
      </w:r>
    </w:p>
    <w:p w14:paraId="73BF90C7" w14:textId="77777777" w:rsidR="00B77508" w:rsidRPr="00837C60" w:rsidRDefault="00B77508" w:rsidP="00B77508">
      <w:pPr>
        <w:keepNext w:val="0"/>
        <w:spacing w:after="0" w:line="240" w:lineRule="auto"/>
        <w:ind w:left="4320" w:firstLine="0"/>
        <w:contextualSpacing/>
        <w:outlineLvl w:val="9"/>
        <w:rPr>
          <w:b/>
        </w:rPr>
      </w:pPr>
      <w:r w:rsidRPr="00837C60">
        <w:rPr>
          <w:b/>
        </w:rPr>
        <w:t>LEGAL DIVISION</w:t>
      </w:r>
    </w:p>
    <w:p w14:paraId="1722183C" w14:textId="77777777" w:rsidR="00B77508" w:rsidRPr="00837C60" w:rsidRDefault="00B77508" w:rsidP="00B77508">
      <w:pPr>
        <w:keepNext w:val="0"/>
        <w:spacing w:after="0" w:line="240" w:lineRule="auto"/>
        <w:ind w:firstLine="0"/>
        <w:outlineLvl w:val="9"/>
      </w:pPr>
    </w:p>
    <w:p w14:paraId="120865AE" w14:textId="77777777" w:rsidR="00B77508" w:rsidRPr="00837C60" w:rsidRDefault="00B77508" w:rsidP="00B77508">
      <w:pPr>
        <w:keepNext w:val="0"/>
        <w:spacing w:after="0" w:line="240" w:lineRule="auto"/>
        <w:ind w:firstLine="0"/>
        <w:outlineLvl w:val="9"/>
      </w:pPr>
      <w:r w:rsidRPr="00837C60">
        <w:tab/>
      </w:r>
      <w:r w:rsidRPr="00837C60">
        <w:tab/>
      </w:r>
      <w:r w:rsidRPr="00837C60">
        <w:tab/>
      </w:r>
      <w:r w:rsidRPr="00837C60">
        <w:tab/>
      </w:r>
      <w:r w:rsidRPr="00837C60">
        <w:tab/>
      </w:r>
      <w:r w:rsidRPr="00837C60">
        <w:tab/>
        <w:t>Marisa Lopez Wagley</w:t>
      </w:r>
    </w:p>
    <w:p w14:paraId="67317A4F" w14:textId="77777777" w:rsidR="00B77508" w:rsidRPr="00837C60" w:rsidRDefault="00B77508" w:rsidP="00B77508">
      <w:pPr>
        <w:keepNext w:val="0"/>
        <w:spacing w:after="0" w:line="240" w:lineRule="auto"/>
        <w:ind w:firstLine="0"/>
        <w:outlineLvl w:val="9"/>
      </w:pPr>
      <w:r w:rsidRPr="00837C60">
        <w:tab/>
      </w:r>
      <w:r w:rsidRPr="00837C60">
        <w:tab/>
      </w:r>
      <w:r w:rsidRPr="00837C60">
        <w:tab/>
      </w:r>
      <w:r w:rsidRPr="00837C60">
        <w:tab/>
      </w:r>
      <w:r w:rsidRPr="00837C60">
        <w:tab/>
      </w:r>
      <w:r w:rsidRPr="00837C60">
        <w:tab/>
        <w:t>Division Director</w:t>
      </w:r>
    </w:p>
    <w:p w14:paraId="702E0815" w14:textId="77777777" w:rsidR="00B77508" w:rsidRPr="00837C60" w:rsidRDefault="00B77508" w:rsidP="00B77508">
      <w:pPr>
        <w:keepNext w:val="0"/>
        <w:spacing w:after="0" w:line="240" w:lineRule="auto"/>
        <w:ind w:firstLine="0"/>
        <w:outlineLvl w:val="9"/>
      </w:pPr>
    </w:p>
    <w:p w14:paraId="30F8F03C" w14:textId="77777777" w:rsidR="00B77508" w:rsidRPr="001B64C0" w:rsidRDefault="00B77508" w:rsidP="00B77508">
      <w:pPr>
        <w:keepNext w:val="0"/>
        <w:spacing w:after="0" w:line="240" w:lineRule="auto"/>
        <w:ind w:left="3600"/>
        <w:outlineLvl w:val="9"/>
      </w:pPr>
      <w:r>
        <w:t>Ian Groetsch</w:t>
      </w:r>
    </w:p>
    <w:p w14:paraId="59250922" w14:textId="77777777" w:rsidR="00B77508" w:rsidRPr="001B64C0" w:rsidRDefault="00B77508" w:rsidP="00B77508">
      <w:pPr>
        <w:keepNext w:val="0"/>
        <w:spacing w:after="0" w:line="240" w:lineRule="auto"/>
        <w:ind w:left="3600"/>
        <w:outlineLvl w:val="9"/>
      </w:pPr>
      <w:r w:rsidRPr="001B64C0">
        <w:t>Managing Attorney</w:t>
      </w:r>
    </w:p>
    <w:p w14:paraId="7CDC474C" w14:textId="77777777" w:rsidR="00B77508" w:rsidRPr="00FF023B" w:rsidRDefault="00B77508" w:rsidP="00B77508">
      <w:pPr>
        <w:keepNext w:val="0"/>
        <w:spacing w:after="0" w:line="240" w:lineRule="auto"/>
        <w:ind w:left="3600"/>
        <w:outlineLvl w:val="9"/>
      </w:pPr>
    </w:p>
    <w:p w14:paraId="29A828AB" w14:textId="77777777" w:rsidR="00B77508" w:rsidRPr="00FF023B" w:rsidRDefault="00B77508" w:rsidP="00B77508">
      <w:pPr>
        <w:keepNext w:val="0"/>
        <w:spacing w:after="0" w:line="240" w:lineRule="auto"/>
        <w:ind w:left="3600"/>
        <w:outlineLvl w:val="9"/>
        <w:rPr>
          <w:u w:val="single"/>
        </w:rPr>
      </w:pPr>
      <w:r w:rsidRPr="00FF023B">
        <w:rPr>
          <w:u w:val="single"/>
        </w:rPr>
        <w:t xml:space="preserve">/s/ </w:t>
      </w:r>
      <w:r w:rsidRPr="00FF023B">
        <w:rPr>
          <w:i/>
          <w:iCs/>
          <w:u w:val="single"/>
        </w:rPr>
        <w:t>Scott Miles</w:t>
      </w:r>
      <w:r w:rsidRPr="00FF023B">
        <w:rPr>
          <w:u w:val="single"/>
        </w:rPr>
        <w:tab/>
      </w:r>
      <w:r w:rsidRPr="00FF023B">
        <w:rPr>
          <w:u w:val="single"/>
        </w:rPr>
        <w:tab/>
      </w:r>
    </w:p>
    <w:p w14:paraId="332CFDEA" w14:textId="77777777" w:rsidR="00B77508" w:rsidRPr="001B64C0" w:rsidRDefault="00B77508" w:rsidP="00B77508">
      <w:pPr>
        <w:keepNext w:val="0"/>
        <w:spacing w:after="0" w:line="240" w:lineRule="auto"/>
        <w:ind w:left="3600"/>
        <w:outlineLvl w:val="9"/>
      </w:pPr>
      <w:r w:rsidRPr="001B64C0">
        <w:t xml:space="preserve">Scott Miles </w:t>
      </w:r>
    </w:p>
    <w:p w14:paraId="6015D305" w14:textId="77777777" w:rsidR="00B77508" w:rsidRPr="001B64C0" w:rsidRDefault="00B77508" w:rsidP="00B77508">
      <w:pPr>
        <w:keepNext w:val="0"/>
        <w:spacing w:after="0" w:line="240" w:lineRule="auto"/>
        <w:ind w:left="3600"/>
        <w:outlineLvl w:val="9"/>
      </w:pPr>
      <w:r w:rsidRPr="001B64C0">
        <w:t xml:space="preserve">State Bar No. 24098103 </w:t>
      </w:r>
    </w:p>
    <w:p w14:paraId="404D5EED" w14:textId="77777777" w:rsidR="00B77508" w:rsidRDefault="00B77508" w:rsidP="00B77508">
      <w:pPr>
        <w:keepNext w:val="0"/>
        <w:spacing w:after="0" w:line="240" w:lineRule="auto"/>
        <w:ind w:left="3600"/>
        <w:outlineLvl w:val="9"/>
      </w:pPr>
      <w:r>
        <w:t>Anthony Kanalas</w:t>
      </w:r>
    </w:p>
    <w:p w14:paraId="733F8A74" w14:textId="77777777" w:rsidR="00B77508" w:rsidRDefault="00B77508" w:rsidP="00B77508">
      <w:pPr>
        <w:keepNext w:val="0"/>
        <w:spacing w:after="0" w:line="240" w:lineRule="auto"/>
        <w:ind w:left="3600"/>
        <w:outlineLvl w:val="9"/>
      </w:pPr>
      <w:r>
        <w:t>State Bar No. 24125640</w:t>
      </w:r>
    </w:p>
    <w:p w14:paraId="67AF749B" w14:textId="77777777" w:rsidR="00B77508" w:rsidRPr="001B64C0" w:rsidRDefault="00B77508" w:rsidP="00B77508">
      <w:pPr>
        <w:keepNext w:val="0"/>
        <w:spacing w:after="0" w:line="240" w:lineRule="auto"/>
        <w:ind w:left="3600"/>
        <w:outlineLvl w:val="9"/>
      </w:pPr>
      <w:r w:rsidRPr="001B64C0">
        <w:t xml:space="preserve">1701 N. Congress Avenue </w:t>
      </w:r>
    </w:p>
    <w:p w14:paraId="511950E0" w14:textId="77777777" w:rsidR="00B77508" w:rsidRPr="001B64C0" w:rsidRDefault="00B77508" w:rsidP="00B77508">
      <w:pPr>
        <w:keepNext w:val="0"/>
        <w:spacing w:after="0" w:line="240" w:lineRule="auto"/>
        <w:ind w:left="3600"/>
        <w:outlineLvl w:val="9"/>
      </w:pPr>
      <w:r w:rsidRPr="001B64C0">
        <w:t xml:space="preserve">P.O. Box 13326 </w:t>
      </w:r>
    </w:p>
    <w:p w14:paraId="534070CC" w14:textId="77777777" w:rsidR="00B77508" w:rsidRPr="001B64C0" w:rsidRDefault="00B77508" w:rsidP="00B77508">
      <w:pPr>
        <w:keepNext w:val="0"/>
        <w:spacing w:after="0" w:line="240" w:lineRule="auto"/>
        <w:ind w:left="3600"/>
        <w:outlineLvl w:val="9"/>
      </w:pPr>
      <w:r w:rsidRPr="001B64C0">
        <w:t xml:space="preserve">Austin, Texas 78711-3326 </w:t>
      </w:r>
    </w:p>
    <w:p w14:paraId="6A3430A0" w14:textId="77777777" w:rsidR="00B77508" w:rsidRPr="001B64C0" w:rsidRDefault="00B77508" w:rsidP="00B77508">
      <w:pPr>
        <w:keepNext w:val="0"/>
        <w:spacing w:after="0" w:line="240" w:lineRule="auto"/>
        <w:ind w:left="3600"/>
        <w:outlineLvl w:val="9"/>
      </w:pPr>
      <w:r w:rsidRPr="001B64C0">
        <w:t xml:space="preserve">(512) 936-7228 </w:t>
      </w:r>
    </w:p>
    <w:p w14:paraId="6F3A6741" w14:textId="77777777" w:rsidR="00B77508" w:rsidRPr="001B64C0" w:rsidRDefault="00B77508" w:rsidP="00B77508">
      <w:pPr>
        <w:keepNext w:val="0"/>
        <w:spacing w:after="0" w:line="240" w:lineRule="auto"/>
        <w:ind w:left="3600"/>
        <w:outlineLvl w:val="9"/>
      </w:pPr>
      <w:r w:rsidRPr="001B64C0">
        <w:t xml:space="preserve">(512) 936-7268 (facsimile) </w:t>
      </w:r>
    </w:p>
    <w:p w14:paraId="2E980F7E" w14:textId="77777777" w:rsidR="00B77508" w:rsidRPr="001B64C0" w:rsidRDefault="00B77508" w:rsidP="00B77508">
      <w:pPr>
        <w:keepNext w:val="0"/>
        <w:spacing w:after="0" w:line="240" w:lineRule="auto"/>
        <w:ind w:left="3600"/>
        <w:outlineLvl w:val="9"/>
      </w:pPr>
      <w:r w:rsidRPr="001B64C0">
        <w:t xml:space="preserve">Scott.Miles@puc.texas.gov </w:t>
      </w:r>
    </w:p>
    <w:p w14:paraId="598F38BF" w14:textId="495FBF5E" w:rsidR="00B77508" w:rsidRDefault="00823A0B" w:rsidP="00FB3575">
      <w:pPr>
        <w:spacing w:after="240" w:line="240" w:lineRule="auto"/>
        <w:ind w:firstLine="0"/>
        <w:contextualSpacing/>
        <w:jc w:val="center"/>
        <w:outlineLvl w:val="9"/>
        <w:rPr>
          <w:b/>
          <w:caps/>
          <w:kern w:val="2"/>
          <w14:ligatures w14:val="standardContextual"/>
        </w:rPr>
      </w:pPr>
      <w:r>
        <w:rPr>
          <w:b/>
          <w:caps/>
          <w:kern w:val="2"/>
          <w14:ligatures w14:val="standardContextual"/>
        </w:rPr>
        <w:t xml:space="preserve"> </w:t>
      </w:r>
    </w:p>
    <w:p w14:paraId="39338232" w14:textId="77777777" w:rsidR="00B77508" w:rsidRDefault="00B77508" w:rsidP="00B77508">
      <w:pPr>
        <w:spacing w:after="240" w:line="240" w:lineRule="auto"/>
        <w:ind w:firstLine="0"/>
        <w:contextualSpacing/>
        <w:jc w:val="center"/>
        <w:outlineLvl w:val="9"/>
        <w:rPr>
          <w:b/>
          <w:caps/>
          <w:kern w:val="2"/>
          <w14:ligatures w14:val="standardContextual"/>
        </w:rPr>
      </w:pPr>
    </w:p>
    <w:p w14:paraId="799670D5" w14:textId="1B738149" w:rsidR="00B77508" w:rsidRDefault="00B77508" w:rsidP="00B77508">
      <w:pPr>
        <w:spacing w:after="240" w:line="240" w:lineRule="auto"/>
        <w:ind w:firstLine="0"/>
        <w:contextualSpacing/>
        <w:jc w:val="center"/>
        <w:outlineLvl w:val="9"/>
        <w:rPr>
          <w:b/>
          <w:caps/>
          <w:kern w:val="2"/>
          <w14:ligatures w14:val="standardContextual"/>
        </w:rPr>
      </w:pPr>
      <w:r w:rsidRPr="00D352B6">
        <w:rPr>
          <w:b/>
          <w:caps/>
          <w:kern w:val="2"/>
          <w14:ligatures w14:val="standardContextual"/>
        </w:rPr>
        <w:t>PUC DOCKET NO. 55338</w:t>
      </w:r>
    </w:p>
    <w:p w14:paraId="017456CF" w14:textId="4D9EA0E4" w:rsidR="00FB3575" w:rsidRPr="00D352B6" w:rsidRDefault="00FB3575" w:rsidP="00FB3575">
      <w:pPr>
        <w:spacing w:after="240" w:line="240" w:lineRule="auto"/>
        <w:ind w:firstLine="0"/>
        <w:contextualSpacing/>
        <w:jc w:val="center"/>
        <w:outlineLvl w:val="9"/>
        <w:rPr>
          <w:b/>
          <w:caps/>
          <w:kern w:val="2"/>
          <w14:ligatures w14:val="standardContextual"/>
        </w:rPr>
      </w:pPr>
      <w:r w:rsidRPr="00D352B6">
        <w:rPr>
          <w:b/>
          <w:caps/>
          <w:kern w:val="2"/>
          <w14:ligatures w14:val="standardContextual"/>
        </w:rPr>
        <w:t>SOAH DOCKET NO. 473-24-07154</w:t>
      </w:r>
    </w:p>
    <w:p w14:paraId="0ABFA3F0" w14:textId="77777777" w:rsidR="00FB3575" w:rsidRPr="00FB3575" w:rsidRDefault="00FB3575" w:rsidP="00FB3575">
      <w:pPr>
        <w:spacing w:after="240" w:line="240" w:lineRule="auto"/>
        <w:ind w:firstLine="0"/>
        <w:contextualSpacing/>
        <w:jc w:val="center"/>
        <w:outlineLvl w:val="9"/>
        <w:rPr>
          <w:b/>
          <w:bCs/>
          <w:caps/>
          <w:color w:val="000000" w:themeColor="text1"/>
          <w:kern w:val="2"/>
          <w14:ligatures w14:val="standardContextual"/>
        </w:rPr>
      </w:pPr>
    </w:p>
    <w:p w14:paraId="7040086D" w14:textId="77777777" w:rsidR="00FB3575" w:rsidRPr="00FB3575" w:rsidRDefault="00FB3575" w:rsidP="00FB3575">
      <w:pPr>
        <w:spacing w:after="240" w:line="240" w:lineRule="auto"/>
        <w:ind w:firstLine="0"/>
        <w:contextualSpacing/>
        <w:jc w:val="center"/>
        <w:outlineLvl w:val="9"/>
        <w:rPr>
          <w:b/>
        </w:rPr>
      </w:pPr>
      <w:r w:rsidRPr="00FB3575">
        <w:rPr>
          <w:b/>
          <w:caps/>
          <w:kern w:val="2"/>
          <w14:ligatures w14:val="standardContextual"/>
        </w:rPr>
        <w:t>CERTIFICATE</w:t>
      </w:r>
      <w:r w:rsidRPr="00FB3575">
        <w:rPr>
          <w:b/>
        </w:rPr>
        <w:t xml:space="preserve"> OF SERVICE</w:t>
      </w:r>
    </w:p>
    <w:p w14:paraId="2C0ABC67" w14:textId="61DE2173" w:rsidR="00FB3575" w:rsidRDefault="00FB3575" w:rsidP="00FB3575">
      <w:pPr>
        <w:pStyle w:val="ListParagraph"/>
        <w:ind w:firstLine="720"/>
        <w:jc w:val="both"/>
      </w:pPr>
      <w:r>
        <w:t>I certify that unless otherwise ordered by the presiding officer, notice of the filing of this document w</w:t>
      </w:r>
      <w:r w:rsidR="00CB494B">
        <w:t>ill be</w:t>
      </w:r>
      <w:r>
        <w:t xml:space="preserve"> provided to all parties of record via electronic mail on </w:t>
      </w:r>
      <w:r>
        <w:fldChar w:fldCharType="begin"/>
      </w:r>
      <w:r>
        <w:instrText xml:space="preserve"> DATE \@ "MMMM d, yyyy" </w:instrText>
      </w:r>
      <w:r>
        <w:fldChar w:fldCharType="separate"/>
      </w:r>
      <w:r w:rsidR="005F4973">
        <w:rPr>
          <w:noProof/>
        </w:rPr>
        <w:t>August 1, 2024</w:t>
      </w:r>
      <w:r>
        <w:fldChar w:fldCharType="end"/>
      </w:r>
      <w:r>
        <w:t xml:space="preserve"> in accordance with the Second Order Suspending Rules, issued in Project No. 50664.</w:t>
      </w:r>
    </w:p>
    <w:p w14:paraId="32EA78B6" w14:textId="77777777" w:rsidR="00FB3575" w:rsidRDefault="00FB3575" w:rsidP="00FB3575">
      <w:pPr>
        <w:pStyle w:val="ListParagraph"/>
        <w:ind w:firstLine="720"/>
        <w:jc w:val="both"/>
      </w:pPr>
    </w:p>
    <w:p w14:paraId="4F05E919" w14:textId="77777777" w:rsidR="00FB3575" w:rsidRPr="00FF023B" w:rsidRDefault="00FB3575" w:rsidP="00FB3575">
      <w:pPr>
        <w:keepNext w:val="0"/>
        <w:spacing w:after="0" w:line="240" w:lineRule="auto"/>
        <w:ind w:left="3600"/>
        <w:outlineLvl w:val="9"/>
        <w:rPr>
          <w:u w:val="single"/>
        </w:rPr>
      </w:pPr>
      <w:r w:rsidRPr="00FF023B">
        <w:rPr>
          <w:u w:val="single"/>
        </w:rPr>
        <w:t xml:space="preserve">/s/ </w:t>
      </w:r>
      <w:r w:rsidRPr="00FF023B">
        <w:rPr>
          <w:i/>
          <w:iCs/>
          <w:u w:val="single"/>
        </w:rPr>
        <w:t>Scott Miles</w:t>
      </w:r>
      <w:r w:rsidRPr="00FF023B">
        <w:rPr>
          <w:u w:val="single"/>
        </w:rPr>
        <w:tab/>
      </w:r>
      <w:r w:rsidRPr="00FF023B">
        <w:rPr>
          <w:u w:val="single"/>
        </w:rPr>
        <w:tab/>
      </w:r>
    </w:p>
    <w:p w14:paraId="6159AE5F" w14:textId="0718264D" w:rsidR="00FB3575" w:rsidRPr="00CE2905" w:rsidRDefault="00FB3575" w:rsidP="00CB6467">
      <w:pPr>
        <w:keepNext w:val="0"/>
        <w:spacing w:after="0" w:line="240" w:lineRule="auto"/>
        <w:ind w:left="3600"/>
        <w:outlineLvl w:val="9"/>
      </w:pPr>
      <w:r w:rsidRPr="001B64C0">
        <w:t xml:space="preserve">Scott Miles </w:t>
      </w:r>
    </w:p>
    <w:sectPr w:rsidR="00FB3575" w:rsidRPr="00CE2905" w:rsidSect="00465B4E">
      <w:footerReference w:type="even" r:id="rId7"/>
      <w:footerReference w:type="default" r:id="rId8"/>
      <w:pgSz w:w="12240" w:h="15840"/>
      <w:pgMar w:top="1440" w:right="1440" w:bottom="1440" w:left="1440" w:header="0" w:footer="0" w:gutter="0"/>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1A4D86" w14:textId="77777777" w:rsidR="00676E1F" w:rsidRDefault="00676E1F" w:rsidP="008016FB">
      <w:r>
        <w:separator/>
      </w:r>
    </w:p>
    <w:p w14:paraId="1D1CDCCE" w14:textId="77777777" w:rsidR="00676E1F" w:rsidRDefault="00676E1F" w:rsidP="008016FB"/>
    <w:p w14:paraId="774F9D7B" w14:textId="77777777" w:rsidR="00676E1F" w:rsidRDefault="00676E1F" w:rsidP="008016FB"/>
  </w:endnote>
  <w:endnote w:type="continuationSeparator" w:id="0">
    <w:p w14:paraId="339BDC5A" w14:textId="77777777" w:rsidR="00676E1F" w:rsidRDefault="00676E1F" w:rsidP="008016FB">
      <w:r>
        <w:continuationSeparator/>
      </w:r>
    </w:p>
    <w:p w14:paraId="7D614740" w14:textId="77777777" w:rsidR="00676E1F" w:rsidRDefault="00676E1F" w:rsidP="008016FB"/>
    <w:p w14:paraId="17F76B4C" w14:textId="77777777" w:rsidR="00676E1F" w:rsidRDefault="00676E1F" w:rsidP="008016FB"/>
  </w:endnote>
  <w:endnote w:type="continuationNotice" w:id="1">
    <w:p w14:paraId="57C42CEB" w14:textId="77777777" w:rsidR="00676E1F" w:rsidRDefault="00676E1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99ED3" w14:textId="34E5C858"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883181">
      <w:rPr>
        <w:rStyle w:val="PageNumber"/>
        <w:noProof/>
      </w:rPr>
      <w:t>2</w:t>
    </w:r>
    <w:r>
      <w:rPr>
        <w:rStyle w:val="PageNumber"/>
      </w:rPr>
      <w:fldChar w:fldCharType="end"/>
    </w:r>
  </w:p>
  <w:p w14:paraId="5B6EF425" w14:textId="77777777" w:rsidR="00071BFA" w:rsidRDefault="00071BFA" w:rsidP="008016FB">
    <w:pPr>
      <w:pStyle w:val="Footer"/>
    </w:pPr>
  </w:p>
  <w:p w14:paraId="4A991412" w14:textId="77777777" w:rsidR="00071BFA" w:rsidRDefault="00071BFA" w:rsidP="008016FB"/>
  <w:p w14:paraId="6DA3CE34" w14:textId="77777777" w:rsidR="00071BFA" w:rsidRDefault="00071BFA" w:rsidP="008016F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13477660"/>
      <w:docPartObj>
        <w:docPartGallery w:val="Page Numbers (Bottom of Page)"/>
        <w:docPartUnique/>
      </w:docPartObj>
    </w:sdtPr>
    <w:sdtEndPr>
      <w:rPr>
        <w:noProof/>
      </w:rPr>
    </w:sdtEndPr>
    <w:sdtContent>
      <w:p w14:paraId="2B7CCA76" w14:textId="775E4C83" w:rsidR="00061134" w:rsidRDefault="00061134" w:rsidP="00061134">
        <w:pPr>
          <w:pStyle w:val="Footer"/>
          <w:spacing w:after="0" w:line="240" w:lineRule="auto"/>
          <w:jc w:val="center"/>
        </w:pPr>
        <w:r>
          <w:fldChar w:fldCharType="begin"/>
        </w:r>
        <w:r>
          <w:instrText xml:space="preserve"> PAGE   \* MERGEFORMAT </w:instrText>
        </w:r>
        <w:r>
          <w:fldChar w:fldCharType="separate"/>
        </w:r>
        <w:r>
          <w:rPr>
            <w:noProof/>
          </w:rPr>
          <w:t>2</w:t>
        </w:r>
        <w:r>
          <w:rPr>
            <w:noProof/>
          </w:rPr>
          <w:fldChar w:fldCharType="end"/>
        </w:r>
      </w:p>
    </w:sdtContent>
  </w:sdt>
  <w:p w14:paraId="3D5A9102" w14:textId="77777777" w:rsidR="00410006" w:rsidRDefault="00410006" w:rsidP="00410006">
    <w:pPr>
      <w:pStyle w:val="Footer"/>
      <w:ind w:firstLine="0"/>
    </w:pPr>
  </w:p>
  <w:p w14:paraId="1FFAA197" w14:textId="77777777" w:rsidR="006D22DF" w:rsidRDefault="006D22DF"/>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157BC" w14:textId="77777777" w:rsidR="00676E1F" w:rsidRDefault="00676E1F" w:rsidP="009A0168">
      <w:pPr>
        <w:spacing w:after="0" w:line="240" w:lineRule="auto"/>
        <w:ind w:firstLine="0"/>
      </w:pPr>
      <w:r>
        <w:separator/>
      </w:r>
    </w:p>
  </w:footnote>
  <w:footnote w:type="continuationSeparator" w:id="0">
    <w:p w14:paraId="639EC8A9" w14:textId="77777777" w:rsidR="00676E1F" w:rsidRDefault="00676E1F" w:rsidP="008016FB">
      <w:r>
        <w:continuationSeparator/>
      </w:r>
    </w:p>
    <w:p w14:paraId="5D84D60E" w14:textId="77777777" w:rsidR="00676E1F" w:rsidRDefault="00676E1F" w:rsidP="008016FB"/>
    <w:p w14:paraId="4C14CF0C" w14:textId="77777777" w:rsidR="00676E1F" w:rsidRDefault="00676E1F" w:rsidP="008016FB"/>
  </w:footnote>
  <w:footnote w:type="continuationNotice" w:id="1">
    <w:p w14:paraId="2517B801" w14:textId="77777777" w:rsidR="00676E1F" w:rsidRDefault="00676E1F">
      <w:pPr>
        <w:spacing w:after="0" w:line="240" w:lineRule="auto"/>
      </w:pPr>
    </w:p>
  </w:footnote>
  <w:footnote w:id="2">
    <w:p w14:paraId="1F216D18" w14:textId="1CFA7539" w:rsidR="00F90887" w:rsidRDefault="00F90887" w:rsidP="004E6673">
      <w:pPr>
        <w:pStyle w:val="FootnoteText"/>
        <w:spacing w:line="240" w:lineRule="auto"/>
      </w:pPr>
      <w:r>
        <w:rPr>
          <w:rStyle w:val="FootnoteReference"/>
        </w:rPr>
        <w:footnoteRef/>
      </w:r>
      <w:r>
        <w:t xml:space="preserve">  </w:t>
      </w:r>
      <w:r>
        <w:rPr>
          <w:i/>
          <w:iCs/>
        </w:rPr>
        <w:t>Application of Entergy Texas, Inc. for Authority to Change Rates</w:t>
      </w:r>
      <w:r>
        <w:t xml:space="preserve">, Docket No. 53719 (Jul. 1, 2022).  </w:t>
      </w:r>
    </w:p>
  </w:footnote>
  <w:footnote w:id="3">
    <w:p w14:paraId="0BFF931B" w14:textId="1E55CDD7" w:rsidR="00F90887" w:rsidRDefault="00F90887" w:rsidP="004E6673">
      <w:pPr>
        <w:pStyle w:val="FootnoteText"/>
        <w:spacing w:line="240" w:lineRule="auto"/>
      </w:pPr>
      <w:r>
        <w:rPr>
          <w:rStyle w:val="FootnoteReference"/>
        </w:rPr>
        <w:footnoteRef/>
      </w:r>
      <w:r>
        <w:t xml:space="preserve">  Order Severing Issues (Aug. 16, 2023). </w:t>
      </w:r>
    </w:p>
  </w:footnote>
  <w:footnote w:id="4">
    <w:p w14:paraId="7BC4E298" w14:textId="017EAB26" w:rsidR="00BB2871" w:rsidRDefault="00BB2871" w:rsidP="004E6673">
      <w:pPr>
        <w:pStyle w:val="FootnoteText"/>
        <w:spacing w:line="240" w:lineRule="auto"/>
      </w:pPr>
      <w:r>
        <w:rPr>
          <w:rStyle w:val="FootnoteReference"/>
        </w:rPr>
        <w:footnoteRef/>
      </w:r>
      <w:r>
        <w:t xml:space="preserve">  </w:t>
      </w:r>
      <w:r>
        <w:rPr>
          <w:i/>
          <w:iCs/>
        </w:rPr>
        <w:t>Statement of Intent and Application of El Paso Electric Company for Approval of Texas Electric Vehicle-Ready Pilot Programs and Tariffs</w:t>
      </w:r>
      <w:r>
        <w:t>, Docket No. 54614</w:t>
      </w:r>
      <w:r w:rsidR="00580BC6">
        <w:t xml:space="preserve"> (pending).</w:t>
      </w:r>
      <w:r>
        <w:t xml:space="preserve"> </w:t>
      </w:r>
    </w:p>
  </w:footnote>
  <w:footnote w:id="5">
    <w:p w14:paraId="7D1581C5" w14:textId="77777777" w:rsidR="00CA7EBD" w:rsidRDefault="00CA7EBD" w:rsidP="004E6673">
      <w:pPr>
        <w:pStyle w:val="FootnoteText"/>
        <w:spacing w:line="240" w:lineRule="auto"/>
      </w:pPr>
      <w:r>
        <w:rPr>
          <w:rStyle w:val="FootnoteReference"/>
        </w:rPr>
        <w:footnoteRef/>
      </w:r>
      <w:r>
        <w:t xml:space="preserve">  Public Utility Regulatory Act, Tex. Util. Code Ann. §§ 11.001-66.016.  </w:t>
      </w:r>
    </w:p>
  </w:footnote>
  <w:footnote w:id="6">
    <w:p w14:paraId="4179303A" w14:textId="0244707D" w:rsidR="00CA7EBD" w:rsidRDefault="00CA7EBD" w:rsidP="004E6673">
      <w:pPr>
        <w:pStyle w:val="FootnoteText"/>
        <w:spacing w:line="240" w:lineRule="auto"/>
      </w:pPr>
      <w:r>
        <w:rPr>
          <w:rStyle w:val="FootnoteReference"/>
        </w:rPr>
        <w:footnoteRef/>
      </w:r>
      <w:r>
        <w:t xml:space="preserve">  Commission Staff’s Initial Brief at </w:t>
      </w:r>
      <w:r w:rsidR="00892105">
        <w:t>9</w:t>
      </w:r>
      <w:r>
        <w:t>-11 (Apr. 1</w:t>
      </w:r>
      <w:r w:rsidR="00892105">
        <w:t>5</w:t>
      </w:r>
      <w:r>
        <w:t>, 2024) (Staff’s Initial Brief)</w:t>
      </w:r>
      <w:r w:rsidR="00D92297">
        <w:t xml:space="preserve"> (although Staff’s discussion focuses on the TECI Rider, Staff recommend</w:t>
      </w:r>
      <w:r w:rsidR="00FB2146">
        <w:t>s</w:t>
      </w:r>
      <w:r w:rsidR="00D92297">
        <w:t xml:space="preserve"> that ETI is free to seek approval of demand charges, like the demand charge adjustments in the TECDA Rider</w:t>
      </w:r>
      <w:r w:rsidR="00CE3F96">
        <w:t>,</w:t>
      </w:r>
      <w:r w:rsidR="00D92297">
        <w:t xml:space="preserve"> in a separate EV rate class)</w:t>
      </w:r>
      <w:r>
        <w:t xml:space="preserve">. </w:t>
      </w:r>
    </w:p>
  </w:footnote>
  <w:footnote w:id="7">
    <w:p w14:paraId="7C943ED1" w14:textId="2E524C85" w:rsidR="00243DFB" w:rsidRDefault="00243DFB" w:rsidP="004E6673">
      <w:pPr>
        <w:pStyle w:val="FootnoteText"/>
        <w:spacing w:line="240" w:lineRule="auto"/>
      </w:pPr>
      <w:r>
        <w:rPr>
          <w:rStyle w:val="FootnoteReference"/>
        </w:rPr>
        <w:footnoteRef/>
      </w:r>
      <w:r>
        <w:t xml:space="preserve">  </w:t>
      </w:r>
      <w:r>
        <w:rPr>
          <w:i/>
          <w:iCs/>
        </w:rPr>
        <w:t>Id</w:t>
      </w:r>
      <w:r>
        <w:t xml:space="preserve">. at 7-8. </w:t>
      </w:r>
    </w:p>
  </w:footnote>
  <w:footnote w:id="8">
    <w:p w14:paraId="0F9987EF" w14:textId="0A46C56B" w:rsidR="00CA7EBD" w:rsidRDefault="00CA7EBD" w:rsidP="004E6673">
      <w:pPr>
        <w:pStyle w:val="FootnoteText"/>
        <w:spacing w:line="240" w:lineRule="auto"/>
      </w:pPr>
      <w:r>
        <w:rPr>
          <w:rStyle w:val="FootnoteReference"/>
        </w:rPr>
        <w:footnoteRef/>
      </w:r>
      <w:r>
        <w:t xml:space="preserve">  </w:t>
      </w:r>
      <w:r>
        <w:rPr>
          <w:i/>
          <w:iCs/>
        </w:rPr>
        <w:t>Id</w:t>
      </w:r>
      <w:r>
        <w:t xml:space="preserve">. at </w:t>
      </w:r>
      <w:r w:rsidR="00243DFB">
        <w:t>8.</w:t>
      </w:r>
    </w:p>
  </w:footnote>
  <w:footnote w:id="9">
    <w:p w14:paraId="10008EEE" w14:textId="7371ABE8" w:rsidR="00CA7EBD" w:rsidRDefault="00CA7EBD" w:rsidP="004E6673">
      <w:pPr>
        <w:pStyle w:val="FootnoteText"/>
        <w:spacing w:line="240" w:lineRule="auto"/>
      </w:pPr>
      <w:r>
        <w:rPr>
          <w:rStyle w:val="FootnoteReference"/>
        </w:rPr>
        <w:footnoteRef/>
      </w:r>
      <w:r>
        <w:t xml:space="preserve">  </w:t>
      </w:r>
      <w:r>
        <w:rPr>
          <w:i/>
          <w:iCs/>
        </w:rPr>
        <w:t>Id</w:t>
      </w:r>
      <w:r>
        <w:t>.</w:t>
      </w:r>
      <w:r w:rsidR="00CD3B9A">
        <w:t xml:space="preserve"> at 9.</w:t>
      </w:r>
      <w:r>
        <w:t xml:space="preserve">  </w:t>
      </w:r>
    </w:p>
  </w:footnote>
  <w:footnote w:id="10">
    <w:p w14:paraId="4B2A6804" w14:textId="7EECBA93" w:rsidR="00CD3B9A" w:rsidRDefault="00CD3B9A" w:rsidP="004E6673">
      <w:pPr>
        <w:pStyle w:val="FootnoteText"/>
        <w:spacing w:line="240" w:lineRule="auto"/>
      </w:pPr>
      <w:r>
        <w:rPr>
          <w:rStyle w:val="FootnoteReference"/>
        </w:rPr>
        <w:footnoteRef/>
      </w:r>
      <w:r>
        <w:t xml:space="preserve">  Proposal for Decision at </w:t>
      </w:r>
      <w:r w:rsidR="001F7336">
        <w:t>20-21 and 24-</w:t>
      </w:r>
      <w:r>
        <w:t xml:space="preserve">25 (Jun. 21, 2024) (PFD). </w:t>
      </w:r>
    </w:p>
  </w:footnote>
  <w:footnote w:id="11">
    <w:p w14:paraId="18CB2DB7" w14:textId="739BE590" w:rsidR="004639F6" w:rsidRDefault="004639F6" w:rsidP="004E6673">
      <w:pPr>
        <w:pStyle w:val="FootnoteText"/>
        <w:spacing w:line="240" w:lineRule="auto"/>
      </w:pPr>
      <w:r>
        <w:rPr>
          <w:rStyle w:val="FootnoteReference"/>
        </w:rPr>
        <w:footnoteRef/>
      </w:r>
      <w:r>
        <w:t xml:space="preserve">  Staff’s Initial Brief at 9. </w:t>
      </w:r>
    </w:p>
  </w:footnote>
  <w:footnote w:id="12">
    <w:p w14:paraId="013F0DCB" w14:textId="128D75E5" w:rsidR="006F114F" w:rsidRDefault="006F114F" w:rsidP="004E6673">
      <w:pPr>
        <w:pStyle w:val="FootnoteText"/>
        <w:spacing w:line="240" w:lineRule="auto"/>
      </w:pPr>
      <w:r>
        <w:rPr>
          <w:rStyle w:val="FootnoteReference"/>
        </w:rPr>
        <w:footnoteRef/>
      </w:r>
      <w:r>
        <w:t xml:space="preserve">  </w:t>
      </w:r>
      <w:r>
        <w:rPr>
          <w:i/>
          <w:iCs/>
        </w:rPr>
        <w:t>Id</w:t>
      </w:r>
      <w:r>
        <w:t xml:space="preserve">. at 11. </w:t>
      </w:r>
    </w:p>
  </w:footnote>
  <w:footnote w:id="13">
    <w:p w14:paraId="6B00DFF0" w14:textId="77777777" w:rsidR="006F114F" w:rsidRDefault="006F114F" w:rsidP="004E6673">
      <w:pPr>
        <w:pStyle w:val="FootnoteText"/>
        <w:spacing w:line="240" w:lineRule="auto"/>
      </w:pPr>
      <w:r>
        <w:rPr>
          <w:rStyle w:val="FootnoteReference"/>
        </w:rPr>
        <w:footnoteRef/>
      </w:r>
      <w:r>
        <w:t xml:space="preserve">  </w:t>
      </w:r>
      <w:r>
        <w:rPr>
          <w:i/>
          <w:iCs/>
        </w:rPr>
        <w:t>Id</w:t>
      </w:r>
      <w:r>
        <w:t xml:space="preserve">. at 10-11. </w:t>
      </w:r>
    </w:p>
  </w:footnote>
  <w:footnote w:id="14">
    <w:p w14:paraId="1B9BE710" w14:textId="77777777" w:rsidR="006F114F" w:rsidRDefault="006F114F" w:rsidP="004E6673">
      <w:pPr>
        <w:pStyle w:val="FootnoteText"/>
        <w:spacing w:line="240" w:lineRule="auto"/>
      </w:pPr>
      <w:r>
        <w:rPr>
          <w:rStyle w:val="FootnoteReference"/>
        </w:rPr>
        <w:footnoteRef/>
      </w:r>
      <w:r>
        <w:t xml:space="preserve">  </w:t>
      </w:r>
      <w:r>
        <w:rPr>
          <w:i/>
          <w:iCs/>
        </w:rPr>
        <w:t>Id</w:t>
      </w:r>
      <w:r>
        <w:t xml:space="preserve">. </w:t>
      </w:r>
    </w:p>
  </w:footnote>
  <w:footnote w:id="15">
    <w:p w14:paraId="0715EFC0" w14:textId="4A6D0D55" w:rsidR="006502B4" w:rsidRDefault="006502B4" w:rsidP="004E6673">
      <w:pPr>
        <w:pStyle w:val="FootnoteText"/>
        <w:spacing w:line="240" w:lineRule="auto"/>
      </w:pPr>
      <w:r>
        <w:rPr>
          <w:rStyle w:val="FootnoteReference"/>
        </w:rPr>
        <w:footnoteRef/>
      </w:r>
      <w:r>
        <w:t xml:space="preserve">  </w:t>
      </w:r>
      <w:r>
        <w:rPr>
          <w:i/>
          <w:iCs/>
        </w:rPr>
        <w:t>Id</w:t>
      </w:r>
      <w:r>
        <w:t xml:space="preserve">. at 9. </w:t>
      </w:r>
    </w:p>
  </w:footnote>
  <w:footnote w:id="16">
    <w:p w14:paraId="0F8CA8EF" w14:textId="32E5368D" w:rsidR="006502B4" w:rsidRDefault="006502B4" w:rsidP="004E6673">
      <w:pPr>
        <w:pStyle w:val="FootnoteText"/>
        <w:spacing w:line="240" w:lineRule="auto"/>
      </w:pPr>
      <w:r>
        <w:rPr>
          <w:rStyle w:val="FootnoteReference"/>
        </w:rPr>
        <w:footnoteRef/>
      </w:r>
      <w:r>
        <w:t xml:space="preserve">  </w:t>
      </w:r>
      <w:r>
        <w:rPr>
          <w:i/>
          <w:iCs/>
        </w:rPr>
        <w:t>Id</w:t>
      </w:r>
      <w:r>
        <w:t xml:space="preserve">. </w:t>
      </w:r>
    </w:p>
  </w:footnote>
  <w:footnote w:id="17">
    <w:p w14:paraId="1476628B" w14:textId="09BB6B45" w:rsidR="00AA7003" w:rsidRDefault="00AA7003" w:rsidP="004E6673">
      <w:pPr>
        <w:pStyle w:val="FootnoteText"/>
        <w:spacing w:line="240" w:lineRule="auto"/>
      </w:pPr>
      <w:r>
        <w:rPr>
          <w:rStyle w:val="FootnoteReference"/>
        </w:rPr>
        <w:footnoteRef/>
      </w:r>
      <w:r>
        <w:t xml:space="preserve">  </w:t>
      </w:r>
      <w:r>
        <w:rPr>
          <w:i/>
          <w:iCs/>
        </w:rPr>
        <w:t>Id</w:t>
      </w:r>
      <w:r>
        <w:t xml:space="preserve">. at </w:t>
      </w:r>
      <w:r w:rsidR="00263FAC">
        <w:t>10.</w:t>
      </w:r>
      <w:r>
        <w:t xml:space="preserve"> </w:t>
      </w:r>
    </w:p>
  </w:footnote>
  <w:footnote w:id="18">
    <w:p w14:paraId="2727B5A0" w14:textId="7C5AD42E" w:rsidR="003C1CFB" w:rsidRDefault="003C1CFB" w:rsidP="004E6673">
      <w:pPr>
        <w:pStyle w:val="FootnoteText"/>
        <w:spacing w:line="240" w:lineRule="auto"/>
      </w:pPr>
      <w:r>
        <w:rPr>
          <w:rStyle w:val="FootnoteReference"/>
        </w:rPr>
        <w:footnoteRef/>
      </w:r>
      <w:r>
        <w:t xml:space="preserve">  </w:t>
      </w:r>
      <w:r>
        <w:rPr>
          <w:i/>
          <w:iCs/>
        </w:rPr>
        <w:t>Id</w:t>
      </w:r>
      <w:r>
        <w:t xml:space="preserve">.  </w:t>
      </w:r>
    </w:p>
  </w:footnote>
  <w:footnote w:id="19">
    <w:p w14:paraId="1DEB4E4E" w14:textId="0309C70F" w:rsidR="00263FAC" w:rsidRDefault="00263FAC" w:rsidP="004E6673">
      <w:pPr>
        <w:pStyle w:val="FootnoteText"/>
        <w:spacing w:line="240" w:lineRule="auto"/>
      </w:pPr>
      <w:r>
        <w:rPr>
          <w:rStyle w:val="FootnoteReference"/>
        </w:rPr>
        <w:footnoteRef/>
      </w:r>
      <w:r>
        <w:t xml:space="preserve">  </w:t>
      </w:r>
      <w:r>
        <w:rPr>
          <w:i/>
          <w:iCs/>
        </w:rPr>
        <w:t>Id</w:t>
      </w:r>
      <w:r>
        <w:t xml:space="preserve">. </w:t>
      </w:r>
    </w:p>
  </w:footnote>
  <w:footnote w:id="20">
    <w:p w14:paraId="3C3C3219" w14:textId="451C3DA7" w:rsidR="00263FAC" w:rsidRDefault="00263FAC" w:rsidP="004E6673">
      <w:pPr>
        <w:pStyle w:val="FootnoteText"/>
        <w:spacing w:line="240" w:lineRule="auto"/>
      </w:pPr>
      <w:r>
        <w:rPr>
          <w:rStyle w:val="FootnoteReference"/>
        </w:rPr>
        <w:footnoteRef/>
      </w:r>
      <w:r>
        <w:t xml:space="preserve">  </w:t>
      </w:r>
      <w:r>
        <w:rPr>
          <w:i/>
          <w:iCs/>
        </w:rPr>
        <w:t>Id</w:t>
      </w:r>
      <w:r>
        <w:t xml:space="preserve">. </w:t>
      </w:r>
    </w:p>
  </w:footnote>
  <w:footnote w:id="21">
    <w:p w14:paraId="4DD57927" w14:textId="542A460D" w:rsidR="00B84675" w:rsidRDefault="00B84675" w:rsidP="004E6673">
      <w:pPr>
        <w:pStyle w:val="FootnoteText"/>
        <w:spacing w:line="240" w:lineRule="auto"/>
      </w:pPr>
      <w:r>
        <w:rPr>
          <w:rStyle w:val="FootnoteReference"/>
        </w:rPr>
        <w:footnoteRef/>
      </w:r>
      <w:r>
        <w:t xml:space="preserve">  PFD at 20-21</w:t>
      </w:r>
      <w:r w:rsidR="00581BAC">
        <w:t>.</w:t>
      </w:r>
      <w:r>
        <w:t xml:space="preserve"> </w:t>
      </w:r>
    </w:p>
  </w:footnote>
  <w:footnote w:id="22">
    <w:p w14:paraId="5A94F617" w14:textId="118793FF" w:rsidR="00581BAC" w:rsidRDefault="00581BAC" w:rsidP="004E6673">
      <w:pPr>
        <w:pStyle w:val="FootnoteText"/>
        <w:spacing w:line="240" w:lineRule="auto"/>
      </w:pPr>
      <w:r>
        <w:rPr>
          <w:rStyle w:val="FootnoteReference"/>
        </w:rPr>
        <w:footnoteRef/>
      </w:r>
      <w:r>
        <w:t xml:space="preserve">  </w:t>
      </w:r>
      <w:r>
        <w:rPr>
          <w:i/>
          <w:iCs/>
        </w:rPr>
        <w:t xml:space="preserve">See </w:t>
      </w:r>
      <w:r>
        <w:t>Entergy Texas, Inc.’s Reply Brief at 8-9 (Apr. 25, 2024)</w:t>
      </w:r>
      <w:r w:rsidR="00EE4D43">
        <w:t xml:space="preserve"> (ETI’s Reply Brief)</w:t>
      </w:r>
      <w:r>
        <w:t xml:space="preserve">. </w:t>
      </w:r>
    </w:p>
  </w:footnote>
  <w:footnote w:id="23">
    <w:p w14:paraId="7B233A25" w14:textId="5EBDAEE0" w:rsidR="00846C16" w:rsidRDefault="00846C16" w:rsidP="004E6673">
      <w:pPr>
        <w:pStyle w:val="FootnoteText"/>
        <w:spacing w:line="240" w:lineRule="auto"/>
      </w:pPr>
      <w:r>
        <w:rPr>
          <w:rStyle w:val="FootnoteReference"/>
        </w:rPr>
        <w:footnoteRef/>
      </w:r>
      <w:r>
        <w:t xml:space="preserve">  Staff’s Initial Brief at 9. </w:t>
      </w:r>
    </w:p>
  </w:footnote>
  <w:footnote w:id="24">
    <w:p w14:paraId="02B28061" w14:textId="0A6F3078" w:rsidR="006C7FCF" w:rsidRDefault="006C7FCF" w:rsidP="004E6673">
      <w:pPr>
        <w:pStyle w:val="FootnoteText"/>
        <w:spacing w:line="240" w:lineRule="auto"/>
      </w:pPr>
      <w:r>
        <w:rPr>
          <w:rStyle w:val="FootnoteReference"/>
        </w:rPr>
        <w:footnoteRef/>
      </w:r>
      <w:r>
        <w:t xml:space="preserve">  </w:t>
      </w:r>
      <w:r>
        <w:rPr>
          <w:i/>
          <w:iCs/>
        </w:rPr>
        <w:t>Id</w:t>
      </w:r>
      <w:r>
        <w:t xml:space="preserve">. at 10 </w:t>
      </w:r>
    </w:p>
  </w:footnote>
  <w:footnote w:id="25">
    <w:p w14:paraId="371FE446" w14:textId="77777777" w:rsidR="00CA7EBD" w:rsidRDefault="00CA7EBD" w:rsidP="004E6673">
      <w:pPr>
        <w:pStyle w:val="FootnoteText"/>
        <w:spacing w:line="240" w:lineRule="auto"/>
      </w:pPr>
      <w:r>
        <w:rPr>
          <w:rStyle w:val="FootnoteReference"/>
        </w:rPr>
        <w:footnoteRef/>
      </w:r>
      <w:r>
        <w:t xml:space="preserve">  </w:t>
      </w:r>
      <w:r>
        <w:rPr>
          <w:i/>
          <w:iCs/>
        </w:rPr>
        <w:t>Id</w:t>
      </w:r>
      <w:r>
        <w:t xml:space="preserve">. </w:t>
      </w:r>
    </w:p>
  </w:footnote>
  <w:footnote w:id="26">
    <w:p w14:paraId="5D853349" w14:textId="77777777" w:rsidR="00CA7EBD" w:rsidRDefault="00CA7EBD" w:rsidP="004E6673">
      <w:pPr>
        <w:pStyle w:val="FootnoteText"/>
        <w:spacing w:line="240" w:lineRule="auto"/>
      </w:pPr>
      <w:r>
        <w:rPr>
          <w:rStyle w:val="FootnoteReference"/>
        </w:rPr>
        <w:footnoteRef/>
      </w:r>
      <w:r>
        <w:t xml:space="preserve">  </w:t>
      </w:r>
      <w:r>
        <w:rPr>
          <w:i/>
          <w:iCs/>
        </w:rPr>
        <w:t>Id</w:t>
      </w:r>
      <w:r>
        <w:t xml:space="preserve">. (citing to Docket Nos. 42742, 50786, and 54241). </w:t>
      </w:r>
    </w:p>
  </w:footnote>
  <w:footnote w:id="27">
    <w:p w14:paraId="73B549C7" w14:textId="385EEFB9" w:rsidR="00A61C91" w:rsidRDefault="00A61C91" w:rsidP="004E6673">
      <w:pPr>
        <w:pStyle w:val="FootnoteText"/>
        <w:spacing w:line="240" w:lineRule="auto"/>
      </w:pPr>
      <w:r>
        <w:rPr>
          <w:rStyle w:val="FootnoteReference"/>
        </w:rPr>
        <w:footnoteRef/>
      </w:r>
      <w:r>
        <w:t xml:space="preserve">  Commission Staff’s Reply Brief at 2 (Apr. 25, 2024) (Staff’s Reply Brief).  </w:t>
      </w:r>
    </w:p>
  </w:footnote>
  <w:footnote w:id="28">
    <w:p w14:paraId="659B4AA4" w14:textId="3BF8831F" w:rsidR="00272523" w:rsidRDefault="00272523" w:rsidP="004E6673">
      <w:pPr>
        <w:pStyle w:val="FootnoteText"/>
        <w:spacing w:line="240" w:lineRule="auto"/>
      </w:pPr>
      <w:r>
        <w:rPr>
          <w:rStyle w:val="FootnoteReference"/>
        </w:rPr>
        <w:footnoteRef/>
      </w:r>
      <w:r>
        <w:t xml:space="preserve">  </w:t>
      </w:r>
      <w:r>
        <w:rPr>
          <w:i/>
          <w:iCs/>
        </w:rPr>
        <w:t>Id</w:t>
      </w:r>
      <w:r>
        <w:t xml:space="preserve">. at 1. </w:t>
      </w:r>
    </w:p>
  </w:footnote>
  <w:footnote w:id="29">
    <w:p w14:paraId="2AFF0AA8" w14:textId="714B26C8" w:rsidR="009C0D5B" w:rsidRDefault="009C0D5B" w:rsidP="004E6673">
      <w:pPr>
        <w:pStyle w:val="FootnoteText"/>
        <w:spacing w:line="240" w:lineRule="auto"/>
      </w:pPr>
      <w:r>
        <w:rPr>
          <w:rStyle w:val="FootnoteReference"/>
        </w:rPr>
        <w:footnoteRef/>
      </w:r>
      <w:r>
        <w:t xml:space="preserve">  PFD at 22-27. </w:t>
      </w:r>
    </w:p>
  </w:footnote>
  <w:footnote w:id="30">
    <w:p w14:paraId="6914C086" w14:textId="3DE44F17" w:rsidR="009C0D5B" w:rsidRPr="009C0D5B" w:rsidRDefault="009C0D5B" w:rsidP="004E6673">
      <w:pPr>
        <w:pStyle w:val="FootnoteText"/>
        <w:spacing w:line="240" w:lineRule="auto"/>
      </w:pPr>
      <w:r>
        <w:rPr>
          <w:rStyle w:val="FootnoteReference"/>
        </w:rPr>
        <w:footnoteRef/>
      </w:r>
      <w:r>
        <w:t xml:space="preserve"> </w:t>
      </w:r>
      <w:r w:rsidR="00DF3320">
        <w:t xml:space="preserve"> </w:t>
      </w:r>
      <w:r>
        <w:rPr>
          <w:i/>
          <w:iCs/>
        </w:rPr>
        <w:t>Id</w:t>
      </w:r>
      <w:r>
        <w:t>. at 2</w:t>
      </w:r>
      <w:r w:rsidR="00EE4D43">
        <w:t>3</w:t>
      </w:r>
      <w:r>
        <w:t>-</w:t>
      </w:r>
      <w:r w:rsidR="00EE4D43">
        <w:t>24</w:t>
      </w:r>
      <w:r>
        <w:t>.</w:t>
      </w:r>
    </w:p>
  </w:footnote>
  <w:footnote w:id="31">
    <w:p w14:paraId="1234EEE4" w14:textId="364ACC25" w:rsidR="00F008D8" w:rsidRDefault="00F008D8" w:rsidP="004E6673">
      <w:pPr>
        <w:pStyle w:val="FootnoteText"/>
        <w:spacing w:line="240" w:lineRule="auto"/>
      </w:pPr>
      <w:r>
        <w:rPr>
          <w:rStyle w:val="FootnoteReference"/>
        </w:rPr>
        <w:footnoteRef/>
      </w:r>
      <w:r>
        <w:t xml:space="preserve">  </w:t>
      </w:r>
      <w:r w:rsidR="00716EEB">
        <w:t>Staff’s Reply Brief at 6.</w:t>
      </w:r>
      <w:r>
        <w:t xml:space="preserve"> </w:t>
      </w:r>
    </w:p>
  </w:footnote>
  <w:footnote w:id="32">
    <w:p w14:paraId="2C922D8A" w14:textId="4EB53645" w:rsidR="00EA5F4C" w:rsidRDefault="00EA5F4C" w:rsidP="004E6673">
      <w:pPr>
        <w:pStyle w:val="FootnoteText"/>
        <w:spacing w:line="240" w:lineRule="auto"/>
      </w:pPr>
      <w:r>
        <w:rPr>
          <w:rStyle w:val="FootnoteReference"/>
        </w:rPr>
        <w:footnoteRef/>
      </w:r>
      <w:r>
        <w:t xml:space="preserve">  </w:t>
      </w:r>
      <w:r>
        <w:rPr>
          <w:i/>
          <w:iCs/>
        </w:rPr>
        <w:t>Id</w:t>
      </w:r>
      <w:r>
        <w:t xml:space="preserve">. </w:t>
      </w:r>
    </w:p>
  </w:footnote>
  <w:footnote w:id="33">
    <w:p w14:paraId="3F96A657" w14:textId="0BC3C574" w:rsidR="00707269" w:rsidRDefault="00707269" w:rsidP="004E6673">
      <w:pPr>
        <w:pStyle w:val="FootnoteText"/>
        <w:spacing w:line="240" w:lineRule="auto"/>
      </w:pPr>
      <w:r>
        <w:rPr>
          <w:rStyle w:val="FootnoteReference"/>
        </w:rPr>
        <w:footnoteRef/>
      </w:r>
      <w:r>
        <w:t xml:space="preserve">  </w:t>
      </w:r>
      <w:r>
        <w:rPr>
          <w:i/>
          <w:iCs/>
        </w:rPr>
        <w:t>Id</w:t>
      </w:r>
      <w:r>
        <w:t xml:space="preserve">. at 6 and 9. </w:t>
      </w:r>
    </w:p>
  </w:footnote>
  <w:footnote w:id="34">
    <w:p w14:paraId="69AD5671" w14:textId="030F9994" w:rsidR="00D70284" w:rsidRDefault="00D70284" w:rsidP="004E6673">
      <w:pPr>
        <w:pStyle w:val="FootnoteText"/>
        <w:spacing w:line="240" w:lineRule="auto"/>
      </w:pPr>
      <w:r>
        <w:rPr>
          <w:rStyle w:val="FootnoteReference"/>
        </w:rPr>
        <w:footnoteRef/>
      </w:r>
      <w:r>
        <w:t xml:space="preserve">  </w:t>
      </w:r>
      <w:r>
        <w:rPr>
          <w:i/>
          <w:iCs/>
        </w:rPr>
        <w:t>Id</w:t>
      </w:r>
      <w:r>
        <w:t xml:space="preserve">. at 6. </w:t>
      </w:r>
    </w:p>
  </w:footnote>
  <w:footnote w:id="35">
    <w:p w14:paraId="2404938B" w14:textId="1109D288" w:rsidR="00E42848" w:rsidRDefault="00E42848" w:rsidP="004E6673">
      <w:pPr>
        <w:pStyle w:val="FootnoteText"/>
        <w:spacing w:line="240" w:lineRule="auto"/>
      </w:pPr>
      <w:r>
        <w:rPr>
          <w:rStyle w:val="FootnoteReference"/>
        </w:rPr>
        <w:footnoteRef/>
      </w:r>
      <w:r>
        <w:t xml:space="preserve">  </w:t>
      </w:r>
      <w:r>
        <w:rPr>
          <w:i/>
          <w:iCs/>
        </w:rPr>
        <w:t>Id</w:t>
      </w:r>
      <w:r>
        <w:t xml:space="preserve">.  </w:t>
      </w:r>
    </w:p>
  </w:footnote>
  <w:footnote w:id="36">
    <w:p w14:paraId="09926969" w14:textId="03304EDC" w:rsidR="00B66950" w:rsidRDefault="00B66950" w:rsidP="004E6673">
      <w:pPr>
        <w:pStyle w:val="FootnoteText"/>
        <w:spacing w:line="240" w:lineRule="auto"/>
      </w:pPr>
      <w:r>
        <w:rPr>
          <w:rStyle w:val="FootnoteReference"/>
        </w:rPr>
        <w:footnoteRef/>
      </w:r>
      <w:r>
        <w:t xml:space="preserve">  </w:t>
      </w:r>
      <w:r>
        <w:rPr>
          <w:i/>
          <w:iCs/>
        </w:rPr>
        <w:t>Id</w:t>
      </w:r>
      <w:r>
        <w:t xml:space="preserve">. at 7. </w:t>
      </w:r>
    </w:p>
  </w:footnote>
  <w:footnote w:id="37">
    <w:p w14:paraId="1D6DD404" w14:textId="0FFA0D97" w:rsidR="00433584" w:rsidRDefault="00433584" w:rsidP="004E6673">
      <w:pPr>
        <w:pStyle w:val="FootnoteText"/>
        <w:spacing w:line="240" w:lineRule="auto"/>
      </w:pPr>
      <w:r>
        <w:rPr>
          <w:rStyle w:val="FootnoteReference"/>
        </w:rPr>
        <w:footnoteRef/>
      </w:r>
      <w:r>
        <w:t xml:space="preserve">  </w:t>
      </w:r>
      <w:r>
        <w:rPr>
          <w:i/>
          <w:iCs/>
        </w:rPr>
        <w:t>Id</w:t>
      </w:r>
      <w:r>
        <w:t xml:space="preserve">. </w:t>
      </w:r>
    </w:p>
  </w:footnote>
  <w:footnote w:id="38">
    <w:p w14:paraId="2ABA196E" w14:textId="1F954B97" w:rsidR="00433584" w:rsidRDefault="00433584" w:rsidP="004E6673">
      <w:pPr>
        <w:pStyle w:val="FootnoteText"/>
        <w:spacing w:line="240" w:lineRule="auto"/>
      </w:pPr>
      <w:r>
        <w:rPr>
          <w:rStyle w:val="FootnoteReference"/>
        </w:rPr>
        <w:footnoteRef/>
      </w:r>
      <w:r>
        <w:t xml:space="preserve">  </w:t>
      </w:r>
      <w:r>
        <w:rPr>
          <w:i/>
          <w:iCs/>
        </w:rPr>
        <w:t>Id</w:t>
      </w:r>
      <w:r>
        <w:t xml:space="preserve">. </w:t>
      </w:r>
    </w:p>
  </w:footnote>
  <w:footnote w:id="39">
    <w:p w14:paraId="0A37CBEC" w14:textId="77777777" w:rsidR="00AF68EA" w:rsidRDefault="00AF68EA" w:rsidP="004E6673">
      <w:pPr>
        <w:pStyle w:val="FootnoteText"/>
        <w:spacing w:line="240" w:lineRule="auto"/>
      </w:pPr>
      <w:r>
        <w:rPr>
          <w:rStyle w:val="FootnoteReference"/>
        </w:rPr>
        <w:footnoteRef/>
      </w:r>
      <w:r>
        <w:t xml:space="preserve">  Staff’s Initial Brief at 20-21. </w:t>
      </w:r>
    </w:p>
  </w:footnote>
  <w:footnote w:id="40">
    <w:p w14:paraId="36926036" w14:textId="77777777" w:rsidR="00AF68EA" w:rsidRDefault="00AF68EA" w:rsidP="004E6673">
      <w:pPr>
        <w:pStyle w:val="FootnoteText"/>
        <w:spacing w:line="240" w:lineRule="auto"/>
      </w:pPr>
      <w:r>
        <w:rPr>
          <w:rStyle w:val="FootnoteReference"/>
        </w:rPr>
        <w:footnoteRef/>
      </w:r>
      <w:r>
        <w:t xml:space="preserve">  </w:t>
      </w:r>
      <w:r>
        <w:rPr>
          <w:i/>
          <w:iCs/>
        </w:rPr>
        <w:t>Id</w:t>
      </w:r>
      <w:r>
        <w:t>. at 20.</w:t>
      </w:r>
    </w:p>
  </w:footnote>
  <w:footnote w:id="41">
    <w:p w14:paraId="539C9551" w14:textId="050456E1" w:rsidR="00AF68EA" w:rsidRDefault="00AF68EA" w:rsidP="004E6673">
      <w:pPr>
        <w:pStyle w:val="FootnoteText"/>
        <w:spacing w:line="240" w:lineRule="auto"/>
      </w:pPr>
      <w:r>
        <w:rPr>
          <w:rStyle w:val="FootnoteReference"/>
        </w:rPr>
        <w:footnoteRef/>
      </w:r>
      <w:r>
        <w:t xml:space="preserve"> </w:t>
      </w:r>
      <w:r w:rsidR="00F807D7">
        <w:t xml:space="preserve"> </w:t>
      </w:r>
      <w:r>
        <w:rPr>
          <w:i/>
          <w:iCs/>
        </w:rPr>
        <w:t>Id</w:t>
      </w:r>
      <w:r>
        <w:t xml:space="preserve">. (citing to </w:t>
      </w:r>
      <w:r>
        <w:rPr>
          <w:i/>
          <w:iCs/>
        </w:rPr>
        <w:t>Application of Entergy Texas, Inc. for a Financing Order</w:t>
      </w:r>
      <w:r>
        <w:t xml:space="preserve">, Docket No. 52302, Order at Ordering Paragraph No. 34 (Jan. 14, 2022)).   </w:t>
      </w:r>
    </w:p>
  </w:footnote>
  <w:footnote w:id="42">
    <w:p w14:paraId="39193558" w14:textId="77777777" w:rsidR="00AF68EA" w:rsidRDefault="00AF68EA" w:rsidP="004E6673">
      <w:pPr>
        <w:pStyle w:val="FootnoteText"/>
        <w:spacing w:line="240" w:lineRule="auto"/>
      </w:pPr>
      <w:r>
        <w:rPr>
          <w:rStyle w:val="FootnoteReference"/>
        </w:rPr>
        <w:footnoteRef/>
      </w:r>
      <w:r>
        <w:t xml:space="preserve">  </w:t>
      </w:r>
      <w:r>
        <w:rPr>
          <w:i/>
          <w:iCs/>
        </w:rPr>
        <w:t>Id</w:t>
      </w:r>
      <w:r>
        <w:t xml:space="preserve">. </w:t>
      </w:r>
    </w:p>
  </w:footnote>
  <w:footnote w:id="43">
    <w:p w14:paraId="1720408C" w14:textId="77777777" w:rsidR="00AF68EA" w:rsidRDefault="00AF68EA" w:rsidP="004E6673">
      <w:pPr>
        <w:pStyle w:val="FootnoteText"/>
        <w:spacing w:line="240" w:lineRule="auto"/>
      </w:pPr>
      <w:r>
        <w:rPr>
          <w:rStyle w:val="FootnoteReference"/>
        </w:rPr>
        <w:footnoteRef/>
      </w:r>
      <w:r>
        <w:t xml:space="preserve">  </w:t>
      </w:r>
      <w:r>
        <w:rPr>
          <w:i/>
          <w:iCs/>
        </w:rPr>
        <w:t>Id</w:t>
      </w:r>
      <w:r>
        <w:t xml:space="preserve">. (citing to PURA </w:t>
      </w:r>
      <w:r w:rsidRPr="00D41FFD">
        <w:t>§</w:t>
      </w:r>
      <w:r>
        <w:t xml:space="preserve"> 36.209(b)).</w:t>
      </w:r>
    </w:p>
  </w:footnote>
  <w:footnote w:id="44">
    <w:p w14:paraId="4B58EA97" w14:textId="77777777" w:rsidR="00AF68EA" w:rsidRDefault="00AF68EA" w:rsidP="004E6673">
      <w:pPr>
        <w:pStyle w:val="FootnoteText"/>
        <w:spacing w:line="240" w:lineRule="auto"/>
      </w:pPr>
      <w:r>
        <w:rPr>
          <w:rStyle w:val="FootnoteReference"/>
        </w:rPr>
        <w:footnoteRef/>
      </w:r>
      <w:r>
        <w:t xml:space="preserve">  </w:t>
      </w:r>
      <w:r>
        <w:rPr>
          <w:i/>
          <w:iCs/>
        </w:rPr>
        <w:t>Id</w:t>
      </w:r>
      <w:r>
        <w:t xml:space="preserve">. </w:t>
      </w:r>
    </w:p>
  </w:footnote>
  <w:footnote w:id="45">
    <w:p w14:paraId="2D2C7162" w14:textId="77777777" w:rsidR="00AF68EA" w:rsidRDefault="00AF68EA" w:rsidP="004E6673">
      <w:pPr>
        <w:pStyle w:val="FootnoteText"/>
        <w:spacing w:line="240" w:lineRule="auto"/>
      </w:pPr>
      <w:r>
        <w:rPr>
          <w:rStyle w:val="FootnoteReference"/>
        </w:rPr>
        <w:footnoteRef/>
      </w:r>
      <w:r>
        <w:t xml:space="preserve">  </w:t>
      </w:r>
      <w:r>
        <w:rPr>
          <w:i/>
          <w:iCs/>
        </w:rPr>
        <w:t>Id</w:t>
      </w:r>
      <w:r>
        <w:t xml:space="preserve">. </w:t>
      </w:r>
    </w:p>
  </w:footnote>
  <w:footnote w:id="46">
    <w:p w14:paraId="1BDB4945" w14:textId="17435C25" w:rsidR="00AF68EA" w:rsidRDefault="00AF68EA" w:rsidP="004E6673">
      <w:pPr>
        <w:pStyle w:val="FootnoteText"/>
        <w:spacing w:line="240" w:lineRule="auto"/>
      </w:pPr>
      <w:r>
        <w:rPr>
          <w:rStyle w:val="FootnoteReference"/>
        </w:rPr>
        <w:footnoteRef/>
      </w:r>
      <w:r>
        <w:t xml:space="preserve">  Staff’s Reply Brief at 7. </w:t>
      </w:r>
    </w:p>
  </w:footnote>
  <w:footnote w:id="47">
    <w:p w14:paraId="1D067DDE" w14:textId="6CB87886" w:rsidR="00AF68EA" w:rsidRDefault="00AF68EA" w:rsidP="004E6673">
      <w:pPr>
        <w:pStyle w:val="FootnoteText"/>
        <w:spacing w:line="240" w:lineRule="auto"/>
      </w:pPr>
      <w:r>
        <w:rPr>
          <w:rStyle w:val="FootnoteReference"/>
        </w:rPr>
        <w:footnoteRef/>
      </w:r>
      <w:r>
        <w:t xml:space="preserve">  Staff’s Initial Brief at 20</w:t>
      </w:r>
      <w:r w:rsidR="006257FB">
        <w:t>-21</w:t>
      </w:r>
      <w:r>
        <w:t xml:space="preserve">. </w:t>
      </w:r>
    </w:p>
  </w:footnote>
  <w:footnote w:id="48">
    <w:p w14:paraId="537E634B" w14:textId="33CB3C6A" w:rsidR="00433584" w:rsidRDefault="00433584" w:rsidP="004E6673">
      <w:pPr>
        <w:pStyle w:val="FootnoteText"/>
        <w:spacing w:line="240" w:lineRule="auto"/>
      </w:pPr>
      <w:r>
        <w:rPr>
          <w:rStyle w:val="FootnoteReference"/>
        </w:rPr>
        <w:footnoteRef/>
      </w:r>
      <w:r>
        <w:t xml:space="preserve">  </w:t>
      </w:r>
      <w:r w:rsidR="00574657">
        <w:t>Staff’s Reply Brief</w:t>
      </w:r>
      <w:r w:rsidR="006257FB">
        <w:t xml:space="preserve"> at 7.</w:t>
      </w:r>
      <w:r>
        <w:t xml:space="preserve"> </w:t>
      </w:r>
    </w:p>
  </w:footnote>
  <w:footnote w:id="49">
    <w:p w14:paraId="6957B61A" w14:textId="732969E0" w:rsidR="00433584" w:rsidRDefault="00433584" w:rsidP="004E6673">
      <w:pPr>
        <w:pStyle w:val="FootnoteText"/>
        <w:spacing w:line="240" w:lineRule="auto"/>
      </w:pPr>
      <w:r>
        <w:rPr>
          <w:rStyle w:val="FootnoteReference"/>
        </w:rPr>
        <w:footnoteRef/>
      </w:r>
      <w:r>
        <w:t xml:space="preserve">  </w:t>
      </w:r>
      <w:r>
        <w:rPr>
          <w:i/>
          <w:iCs/>
        </w:rPr>
        <w:t>Id</w:t>
      </w:r>
      <w:r>
        <w:t xml:space="preserve">. </w:t>
      </w:r>
    </w:p>
  </w:footnote>
  <w:footnote w:id="50">
    <w:p w14:paraId="4ABA1EB4" w14:textId="1DC1A219" w:rsidR="0018639E" w:rsidRDefault="0018639E" w:rsidP="004E6673">
      <w:pPr>
        <w:pStyle w:val="FootnoteText"/>
        <w:spacing w:line="240" w:lineRule="auto"/>
      </w:pPr>
      <w:r>
        <w:rPr>
          <w:rStyle w:val="FootnoteReference"/>
        </w:rPr>
        <w:footnoteRef/>
      </w:r>
      <w:r>
        <w:t xml:space="preserve">  </w:t>
      </w:r>
      <w:r>
        <w:rPr>
          <w:i/>
          <w:iCs/>
        </w:rPr>
        <w:t>Id</w:t>
      </w:r>
      <w:r>
        <w:t xml:space="preserve">.  </w:t>
      </w:r>
    </w:p>
  </w:footnote>
  <w:footnote w:id="51">
    <w:p w14:paraId="14C02C8D" w14:textId="5CB6E699" w:rsidR="0018639E" w:rsidRDefault="0018639E" w:rsidP="004E6673">
      <w:pPr>
        <w:pStyle w:val="FootnoteText"/>
        <w:spacing w:line="240" w:lineRule="auto"/>
      </w:pPr>
      <w:r>
        <w:rPr>
          <w:rStyle w:val="FootnoteReference"/>
        </w:rPr>
        <w:footnoteRef/>
      </w:r>
      <w:r>
        <w:t xml:space="preserve">  </w:t>
      </w:r>
      <w:r>
        <w:rPr>
          <w:i/>
          <w:iCs/>
        </w:rPr>
        <w:t>Id.</w:t>
      </w:r>
      <w:r>
        <w:t xml:space="preserve"> </w:t>
      </w:r>
    </w:p>
  </w:footnote>
  <w:footnote w:id="52">
    <w:p w14:paraId="20F2FAD1" w14:textId="3E92FFE1" w:rsidR="0018639E" w:rsidRDefault="0018639E" w:rsidP="004E6673">
      <w:pPr>
        <w:pStyle w:val="FootnoteText"/>
        <w:spacing w:line="240" w:lineRule="auto"/>
      </w:pPr>
      <w:r>
        <w:rPr>
          <w:rStyle w:val="FootnoteReference"/>
        </w:rPr>
        <w:footnoteRef/>
      </w:r>
      <w:r>
        <w:t xml:space="preserve">  </w:t>
      </w:r>
      <w:r>
        <w:rPr>
          <w:i/>
          <w:iCs/>
        </w:rPr>
        <w:t>Id</w:t>
      </w:r>
      <w:r>
        <w:t xml:space="preserve">. </w:t>
      </w:r>
    </w:p>
  </w:footnote>
  <w:footnote w:id="53">
    <w:p w14:paraId="248CEBA2" w14:textId="4D00C5F0" w:rsidR="0018639E" w:rsidRPr="00B843D7" w:rsidRDefault="0018639E" w:rsidP="004E6673">
      <w:pPr>
        <w:pStyle w:val="FootnoteText"/>
        <w:spacing w:line="240" w:lineRule="auto"/>
      </w:pPr>
      <w:r>
        <w:rPr>
          <w:rStyle w:val="FootnoteReference"/>
        </w:rPr>
        <w:footnoteRef/>
      </w:r>
      <w:r>
        <w:t xml:space="preserve">  </w:t>
      </w:r>
      <w:r>
        <w:rPr>
          <w:i/>
          <w:iCs/>
        </w:rPr>
        <w:t>Id</w:t>
      </w:r>
      <w:r>
        <w:t>.</w:t>
      </w:r>
    </w:p>
  </w:footnote>
  <w:footnote w:id="54">
    <w:p w14:paraId="6E90499D" w14:textId="00CB5E67" w:rsidR="0090761A" w:rsidRDefault="0090761A" w:rsidP="004E6673">
      <w:pPr>
        <w:pStyle w:val="FootnoteText"/>
        <w:spacing w:line="240" w:lineRule="auto"/>
      </w:pPr>
      <w:r>
        <w:rPr>
          <w:rStyle w:val="FootnoteReference"/>
        </w:rPr>
        <w:footnoteRef/>
      </w:r>
      <w:r>
        <w:t xml:space="preserve">  Staff’s Initial Brief at 13-14. </w:t>
      </w:r>
    </w:p>
  </w:footnote>
  <w:footnote w:id="55">
    <w:p w14:paraId="63CBE87F" w14:textId="06FAE9AF" w:rsidR="000F3B9E" w:rsidRDefault="000F3B9E" w:rsidP="004E6673">
      <w:pPr>
        <w:pStyle w:val="FootnoteText"/>
        <w:spacing w:line="240" w:lineRule="auto"/>
      </w:pPr>
      <w:r>
        <w:rPr>
          <w:rStyle w:val="FootnoteReference"/>
        </w:rPr>
        <w:footnoteRef/>
      </w:r>
      <w:r>
        <w:t xml:space="preserve">  Staff’s Reply Brief at 9. </w:t>
      </w:r>
    </w:p>
  </w:footnote>
  <w:footnote w:id="56">
    <w:p w14:paraId="726739BE" w14:textId="2C6C5D2D" w:rsidR="00EB372F" w:rsidRDefault="00EB372F" w:rsidP="005F2B39">
      <w:pPr>
        <w:pStyle w:val="FootnoteText"/>
        <w:spacing w:line="240" w:lineRule="auto"/>
      </w:pPr>
      <w:r>
        <w:rPr>
          <w:rStyle w:val="FootnoteReference"/>
        </w:rPr>
        <w:footnoteRef/>
      </w:r>
      <w:r>
        <w:t xml:space="preserve">  Staff’s Initial Brief at </w:t>
      </w:r>
      <w:r w:rsidR="00B342B2">
        <w:t>6.</w:t>
      </w:r>
    </w:p>
  </w:footnote>
  <w:footnote w:id="57">
    <w:p w14:paraId="67594171" w14:textId="55743917" w:rsidR="00D201DD" w:rsidRDefault="00D201DD" w:rsidP="004E6673">
      <w:pPr>
        <w:pStyle w:val="FootnoteText"/>
        <w:spacing w:line="240" w:lineRule="auto"/>
      </w:pPr>
      <w:r>
        <w:rPr>
          <w:rStyle w:val="FootnoteReference"/>
        </w:rPr>
        <w:footnoteRef/>
      </w:r>
      <w:r>
        <w:t xml:space="preserve">  PFD at 25.  </w:t>
      </w:r>
    </w:p>
  </w:footnote>
  <w:footnote w:id="58">
    <w:p w14:paraId="0BEA4002" w14:textId="6EC768FF" w:rsidR="004E6673" w:rsidRDefault="004E6673" w:rsidP="005F2B39">
      <w:pPr>
        <w:pStyle w:val="FootnoteText"/>
        <w:spacing w:line="240" w:lineRule="auto"/>
      </w:pPr>
      <w:r>
        <w:rPr>
          <w:rStyle w:val="FootnoteReference"/>
        </w:rPr>
        <w:footnoteRef/>
      </w:r>
      <w:r>
        <w:t xml:space="preserve">  </w:t>
      </w:r>
      <w:r>
        <w:rPr>
          <w:i/>
          <w:iCs/>
        </w:rPr>
        <w:t>Id</w:t>
      </w:r>
      <w:r>
        <w:t xml:space="preserve">. at 23-24. </w:t>
      </w:r>
    </w:p>
  </w:footnote>
  <w:footnote w:id="59">
    <w:p w14:paraId="6363FD03" w14:textId="77777777" w:rsidR="008A0804" w:rsidRDefault="008A0804" w:rsidP="004E6673">
      <w:pPr>
        <w:pStyle w:val="FootnoteText"/>
        <w:spacing w:line="240" w:lineRule="auto"/>
      </w:pPr>
      <w:r>
        <w:rPr>
          <w:rStyle w:val="FootnoteReference"/>
        </w:rPr>
        <w:footnoteRef/>
      </w:r>
      <w:r>
        <w:t xml:space="preserve">  </w:t>
      </w:r>
      <w:r>
        <w:rPr>
          <w:i/>
          <w:iCs/>
        </w:rPr>
        <w:t>Id</w:t>
      </w:r>
      <w:r>
        <w:t xml:space="preserve">. </w:t>
      </w:r>
    </w:p>
  </w:footnote>
  <w:footnote w:id="60">
    <w:p w14:paraId="0DEE4990" w14:textId="77777777" w:rsidR="008A0804" w:rsidRDefault="008A0804" w:rsidP="004E6673">
      <w:pPr>
        <w:pStyle w:val="FootnoteText"/>
        <w:spacing w:line="240" w:lineRule="auto"/>
      </w:pPr>
      <w:r>
        <w:rPr>
          <w:rStyle w:val="FootnoteReference"/>
        </w:rPr>
        <w:footnoteRef/>
      </w:r>
      <w:r>
        <w:t xml:space="preserve">  </w:t>
      </w:r>
      <w:r>
        <w:rPr>
          <w:i/>
          <w:iCs/>
        </w:rPr>
        <w:t xml:space="preserve">See </w:t>
      </w:r>
      <w:r>
        <w:t xml:space="preserve">ETI’s Reply Brief at 14 and footnote 59.  </w:t>
      </w:r>
    </w:p>
  </w:footnote>
  <w:footnote w:id="61">
    <w:p w14:paraId="0988DB41" w14:textId="77777777" w:rsidR="008A0804" w:rsidRDefault="008A0804" w:rsidP="004E6673">
      <w:pPr>
        <w:pStyle w:val="FootnoteText"/>
        <w:spacing w:line="240" w:lineRule="auto"/>
      </w:pPr>
      <w:r>
        <w:rPr>
          <w:rStyle w:val="FootnoteReference"/>
        </w:rPr>
        <w:footnoteRef/>
      </w:r>
      <w:r>
        <w:t xml:space="preserve">  Staff’s Reply Brief at 6.   </w:t>
      </w:r>
    </w:p>
  </w:footnote>
  <w:footnote w:id="62">
    <w:p w14:paraId="624FFA18" w14:textId="77777777" w:rsidR="008A0804" w:rsidRDefault="008A0804" w:rsidP="004E6673">
      <w:pPr>
        <w:pStyle w:val="FootnoteText"/>
        <w:spacing w:line="240" w:lineRule="auto"/>
      </w:pPr>
      <w:r>
        <w:rPr>
          <w:rStyle w:val="FootnoteReference"/>
        </w:rPr>
        <w:footnoteRef/>
      </w:r>
      <w:r>
        <w:t xml:space="preserve">  </w:t>
      </w:r>
      <w:r>
        <w:rPr>
          <w:i/>
          <w:iCs/>
        </w:rPr>
        <w:t>Id</w:t>
      </w:r>
      <w:r>
        <w:t xml:space="preserve">.  </w:t>
      </w:r>
    </w:p>
  </w:footnote>
  <w:footnote w:id="63">
    <w:p w14:paraId="313A4E60" w14:textId="77777777" w:rsidR="008A0804" w:rsidRDefault="008A0804" w:rsidP="004E6673">
      <w:pPr>
        <w:pStyle w:val="FootnoteText"/>
        <w:spacing w:line="240" w:lineRule="auto"/>
      </w:pPr>
      <w:r>
        <w:rPr>
          <w:rStyle w:val="FootnoteReference"/>
        </w:rPr>
        <w:footnoteRef/>
      </w:r>
      <w:r>
        <w:t xml:space="preserve">  </w:t>
      </w:r>
      <w:r>
        <w:rPr>
          <w:i/>
          <w:iCs/>
        </w:rPr>
        <w:t>Id</w:t>
      </w:r>
      <w:r>
        <w:t xml:space="preserve">.  </w:t>
      </w:r>
    </w:p>
  </w:footnote>
  <w:footnote w:id="64">
    <w:p w14:paraId="510B05BC" w14:textId="72676C07" w:rsidR="006A55DE" w:rsidRDefault="006A55DE" w:rsidP="004E6673">
      <w:pPr>
        <w:pStyle w:val="FootnoteText"/>
        <w:spacing w:line="240" w:lineRule="auto"/>
      </w:pPr>
      <w:r>
        <w:rPr>
          <w:rStyle w:val="FootnoteReference"/>
        </w:rPr>
        <w:footnoteRef/>
      </w:r>
      <w:r>
        <w:t xml:space="preserve">  </w:t>
      </w:r>
      <w:r w:rsidR="00AF4BD3">
        <w:t>PFD at 25.</w:t>
      </w:r>
      <w:r>
        <w:t xml:space="preserve">  </w:t>
      </w:r>
    </w:p>
  </w:footnote>
  <w:footnote w:id="65">
    <w:p w14:paraId="3E4F6390" w14:textId="4B02ECB9" w:rsidR="00453401" w:rsidRDefault="00453401" w:rsidP="004E6673">
      <w:pPr>
        <w:pStyle w:val="FootnoteText"/>
        <w:spacing w:line="240" w:lineRule="auto"/>
      </w:pPr>
      <w:r>
        <w:rPr>
          <w:rStyle w:val="FootnoteReference"/>
        </w:rPr>
        <w:footnoteRef/>
      </w:r>
      <w:r>
        <w:t xml:space="preserve">  Staff’s Initial Brief at 14. </w:t>
      </w:r>
    </w:p>
  </w:footnote>
  <w:footnote w:id="66">
    <w:p w14:paraId="73A59985" w14:textId="7227D873" w:rsidR="00262FDF" w:rsidRDefault="00262FDF" w:rsidP="004E6673">
      <w:pPr>
        <w:pStyle w:val="FootnoteText"/>
        <w:spacing w:line="240" w:lineRule="auto"/>
      </w:pPr>
      <w:r>
        <w:rPr>
          <w:rStyle w:val="FootnoteReference"/>
        </w:rPr>
        <w:footnoteRef/>
      </w:r>
      <w:r>
        <w:t xml:space="preserve">  </w:t>
      </w:r>
      <w:r>
        <w:rPr>
          <w:i/>
          <w:iCs/>
        </w:rPr>
        <w:t>Id</w:t>
      </w:r>
      <w:r>
        <w:t xml:space="preserve">. at 15 </w:t>
      </w:r>
    </w:p>
  </w:footnote>
  <w:footnote w:id="67">
    <w:p w14:paraId="4FCB7949" w14:textId="5C53DD10" w:rsidR="00262FDF" w:rsidRDefault="00262FDF" w:rsidP="004E6673">
      <w:pPr>
        <w:pStyle w:val="FootnoteText"/>
        <w:spacing w:line="240" w:lineRule="auto"/>
      </w:pPr>
      <w:r>
        <w:rPr>
          <w:rStyle w:val="FootnoteReference"/>
        </w:rPr>
        <w:footnoteRef/>
      </w:r>
      <w:r>
        <w:t xml:space="preserve">  </w:t>
      </w:r>
      <w:r>
        <w:rPr>
          <w:i/>
          <w:iCs/>
        </w:rPr>
        <w:t>Id</w:t>
      </w:r>
      <w:r>
        <w:t xml:space="preserve">.  </w:t>
      </w:r>
    </w:p>
  </w:footnote>
  <w:footnote w:id="68">
    <w:p w14:paraId="463496B7" w14:textId="56277AA1" w:rsidR="00262FDF" w:rsidRDefault="00262FDF" w:rsidP="004E6673">
      <w:pPr>
        <w:pStyle w:val="FootnoteText"/>
        <w:spacing w:line="240" w:lineRule="auto"/>
      </w:pPr>
      <w:r>
        <w:rPr>
          <w:rStyle w:val="FootnoteReference"/>
        </w:rPr>
        <w:footnoteRef/>
      </w:r>
      <w:r>
        <w:t xml:space="preserve">  Docket No. 54614, Proposal for Decision at 33 (Jun. 28, 2024). </w:t>
      </w:r>
    </w:p>
  </w:footnote>
  <w:footnote w:id="69">
    <w:p w14:paraId="3D5EDAD4" w14:textId="49F36081" w:rsidR="00F008D8" w:rsidRDefault="00F008D8" w:rsidP="004E6673">
      <w:pPr>
        <w:pStyle w:val="FootnoteText"/>
        <w:spacing w:line="240" w:lineRule="auto"/>
      </w:pPr>
      <w:r>
        <w:rPr>
          <w:rStyle w:val="FootnoteReference"/>
        </w:rPr>
        <w:footnoteRef/>
      </w:r>
      <w:r>
        <w:t xml:space="preserve">  PFD at 26. </w:t>
      </w:r>
    </w:p>
  </w:footnote>
  <w:footnote w:id="70">
    <w:p w14:paraId="27A56439" w14:textId="2175DE51" w:rsidR="00E74D33" w:rsidRDefault="00E74D33" w:rsidP="004E6673">
      <w:pPr>
        <w:pStyle w:val="FootnoteText"/>
        <w:spacing w:line="240" w:lineRule="auto"/>
      </w:pPr>
      <w:r>
        <w:rPr>
          <w:rStyle w:val="FootnoteReference"/>
        </w:rPr>
        <w:footnoteRef/>
      </w:r>
      <w:r>
        <w:t xml:space="preserve">  Staff’s Initial Brief at 6. </w:t>
      </w:r>
    </w:p>
  </w:footnote>
  <w:footnote w:id="71">
    <w:p w14:paraId="44964E82" w14:textId="705FEC1A" w:rsidR="00E74D33" w:rsidRDefault="00E74D33" w:rsidP="004E6673">
      <w:pPr>
        <w:pStyle w:val="FootnoteText"/>
        <w:spacing w:line="240" w:lineRule="auto"/>
      </w:pPr>
      <w:r>
        <w:rPr>
          <w:rStyle w:val="FootnoteReference"/>
        </w:rPr>
        <w:footnoteRef/>
      </w:r>
      <w:r>
        <w:t xml:space="preserve">  PFD at 26. </w:t>
      </w:r>
    </w:p>
  </w:footnote>
  <w:footnote w:id="72">
    <w:p w14:paraId="7B6A7344" w14:textId="01346476" w:rsidR="00E74D33" w:rsidRDefault="00E74D33" w:rsidP="004E6673">
      <w:pPr>
        <w:pStyle w:val="FootnoteText"/>
        <w:spacing w:line="240" w:lineRule="auto"/>
      </w:pPr>
      <w:r>
        <w:rPr>
          <w:rStyle w:val="FootnoteReference"/>
        </w:rPr>
        <w:footnoteRef/>
      </w:r>
      <w:r>
        <w:t xml:space="preserve"> </w:t>
      </w:r>
      <w:r w:rsidR="00BF1BD2">
        <w:t xml:space="preserve"> </w:t>
      </w:r>
      <w:r>
        <w:t>Staff’s Initial Brief at 7.</w:t>
      </w:r>
    </w:p>
  </w:footnote>
  <w:footnote w:id="73">
    <w:p w14:paraId="741E09A2" w14:textId="1985BB45" w:rsidR="008D2043" w:rsidRDefault="008D2043" w:rsidP="004E6673">
      <w:pPr>
        <w:pStyle w:val="FootnoteText"/>
        <w:spacing w:line="240" w:lineRule="auto"/>
      </w:pPr>
      <w:r>
        <w:rPr>
          <w:rStyle w:val="FootnoteReference"/>
        </w:rPr>
        <w:footnoteRef/>
      </w:r>
      <w:r>
        <w:t xml:space="preserve">  </w:t>
      </w:r>
      <w:r>
        <w:rPr>
          <w:i/>
          <w:iCs/>
        </w:rPr>
        <w:t>Id</w:t>
      </w:r>
      <w:r>
        <w:t xml:space="preserve">. </w:t>
      </w:r>
    </w:p>
  </w:footnote>
  <w:footnote w:id="74">
    <w:p w14:paraId="332012DB" w14:textId="799D6491" w:rsidR="008D2043" w:rsidRDefault="008D2043" w:rsidP="004E6673">
      <w:pPr>
        <w:pStyle w:val="FootnoteText"/>
        <w:spacing w:line="240" w:lineRule="auto"/>
      </w:pPr>
      <w:r>
        <w:rPr>
          <w:rStyle w:val="FootnoteReference"/>
        </w:rPr>
        <w:footnoteRef/>
      </w:r>
      <w:r>
        <w:t xml:space="preserve">  Staff’s Reply Brief at 4. </w:t>
      </w:r>
    </w:p>
  </w:footnote>
  <w:footnote w:id="75">
    <w:p w14:paraId="1CFD2452" w14:textId="29C9FB56" w:rsidR="008D2043" w:rsidRDefault="008D2043" w:rsidP="004E6673">
      <w:pPr>
        <w:pStyle w:val="FootnoteText"/>
        <w:spacing w:line="240" w:lineRule="auto"/>
      </w:pPr>
      <w:r>
        <w:rPr>
          <w:rStyle w:val="FootnoteReference"/>
        </w:rPr>
        <w:footnoteRef/>
      </w:r>
      <w:r>
        <w:t xml:space="preserve">  PFD at 9. </w:t>
      </w:r>
    </w:p>
  </w:footnote>
  <w:footnote w:id="76">
    <w:p w14:paraId="1F439BCE" w14:textId="740C688F" w:rsidR="00AC43BC" w:rsidRDefault="00AC43BC" w:rsidP="004E6673">
      <w:pPr>
        <w:pStyle w:val="FootnoteText"/>
        <w:spacing w:line="240" w:lineRule="auto"/>
      </w:pPr>
      <w:r>
        <w:rPr>
          <w:rStyle w:val="FootnoteReference"/>
        </w:rPr>
        <w:footnoteRef/>
      </w:r>
      <w:r>
        <w:t xml:space="preserve">  Staff’s Initial Brief at 3-6. </w:t>
      </w:r>
    </w:p>
  </w:footnote>
  <w:footnote w:id="77">
    <w:p w14:paraId="323D70FD" w14:textId="0BB43895" w:rsidR="00347B0E" w:rsidRDefault="00347B0E" w:rsidP="004E6673">
      <w:pPr>
        <w:pStyle w:val="FootnoteText"/>
        <w:spacing w:line="240" w:lineRule="auto"/>
      </w:pPr>
      <w:r>
        <w:rPr>
          <w:rStyle w:val="FootnoteReference"/>
        </w:rPr>
        <w:footnoteRef/>
      </w:r>
      <w:r>
        <w:t xml:space="preserve">  </w:t>
      </w:r>
      <w:r>
        <w:rPr>
          <w:i/>
          <w:iCs/>
        </w:rPr>
        <w:t>Id</w:t>
      </w:r>
      <w:r>
        <w:t xml:space="preserve">. at 4. </w:t>
      </w:r>
    </w:p>
  </w:footnote>
  <w:footnote w:id="78">
    <w:p w14:paraId="51116C4B" w14:textId="37FA2A21" w:rsidR="00347B0E" w:rsidRDefault="00347B0E" w:rsidP="004E6673">
      <w:pPr>
        <w:pStyle w:val="FootnoteText"/>
        <w:spacing w:line="240" w:lineRule="auto"/>
      </w:pPr>
      <w:r>
        <w:rPr>
          <w:rStyle w:val="FootnoteReference"/>
        </w:rPr>
        <w:footnoteRef/>
      </w:r>
      <w:r>
        <w:t xml:space="preserve">  </w:t>
      </w:r>
      <w:r>
        <w:rPr>
          <w:i/>
          <w:iCs/>
        </w:rPr>
        <w:t>Id</w:t>
      </w:r>
      <w:r>
        <w:t xml:space="preserve">. at 3. </w:t>
      </w:r>
    </w:p>
  </w:footnote>
  <w:footnote w:id="79">
    <w:p w14:paraId="41578C4B" w14:textId="3767A3A8" w:rsidR="00347B0E" w:rsidRDefault="00347B0E" w:rsidP="004E6673">
      <w:pPr>
        <w:pStyle w:val="FootnoteText"/>
        <w:spacing w:line="240" w:lineRule="auto"/>
      </w:pPr>
      <w:r>
        <w:rPr>
          <w:rStyle w:val="FootnoteReference"/>
        </w:rPr>
        <w:footnoteRef/>
      </w:r>
      <w:r>
        <w:t xml:space="preserve">  </w:t>
      </w:r>
      <w:r>
        <w:rPr>
          <w:i/>
          <w:iCs/>
        </w:rPr>
        <w:t>Id</w:t>
      </w:r>
      <w:r>
        <w:t xml:space="preserve">. at 5 </w:t>
      </w:r>
    </w:p>
  </w:footnote>
  <w:footnote w:id="80">
    <w:p w14:paraId="15D86E3F" w14:textId="18D8D721" w:rsidR="00F91DDF" w:rsidRDefault="00F91DDF" w:rsidP="004E6673">
      <w:pPr>
        <w:pStyle w:val="FootnoteText"/>
        <w:spacing w:line="240" w:lineRule="auto"/>
      </w:pPr>
      <w:r>
        <w:rPr>
          <w:rStyle w:val="FootnoteReference"/>
        </w:rPr>
        <w:footnoteRef/>
      </w:r>
      <w:r>
        <w:t xml:space="preserve">  Docket No. 54614, Proposal for Decision at 29 (Jun. 28, 2024). </w:t>
      </w:r>
    </w:p>
  </w:footnote>
  <w:footnote w:id="81">
    <w:p w14:paraId="04B1705D" w14:textId="74F77054" w:rsidR="00070A6C" w:rsidRDefault="00070A6C" w:rsidP="004E6673">
      <w:pPr>
        <w:pStyle w:val="FootnoteText"/>
        <w:spacing w:line="240" w:lineRule="auto"/>
      </w:pPr>
      <w:r>
        <w:rPr>
          <w:rStyle w:val="FootnoteReference"/>
        </w:rPr>
        <w:footnoteRef/>
      </w:r>
      <w:r>
        <w:t xml:space="preserve">  PFD at 3.   </w:t>
      </w:r>
    </w:p>
  </w:footnote>
  <w:footnote w:id="82">
    <w:p w14:paraId="77615D7E" w14:textId="4FC45D34" w:rsidR="00B44F86" w:rsidRDefault="00B44F86" w:rsidP="004E6673">
      <w:pPr>
        <w:pStyle w:val="FootnoteText"/>
        <w:spacing w:line="240" w:lineRule="auto"/>
      </w:pPr>
      <w:r>
        <w:rPr>
          <w:rStyle w:val="FootnoteReference"/>
        </w:rPr>
        <w:footnoteRef/>
      </w:r>
      <w:r w:rsidR="00070A6C">
        <w:t xml:space="preserve">  </w:t>
      </w:r>
      <w:r w:rsidR="00070A6C">
        <w:rPr>
          <w:i/>
          <w:iCs/>
        </w:rPr>
        <w:t>Id</w:t>
      </w:r>
      <w:r w:rsidR="00070A6C">
        <w:t>.</w:t>
      </w:r>
      <w:r>
        <w:t xml:space="preserve"> at 27. </w:t>
      </w:r>
    </w:p>
  </w:footnote>
  <w:footnote w:id="83">
    <w:p w14:paraId="60BDEAF1" w14:textId="47DC35A2" w:rsidR="00C41927" w:rsidRDefault="00C41927" w:rsidP="004E6673">
      <w:pPr>
        <w:pStyle w:val="FootnoteText"/>
        <w:spacing w:line="240" w:lineRule="auto"/>
      </w:pPr>
      <w:r>
        <w:rPr>
          <w:rStyle w:val="FootnoteReference"/>
        </w:rPr>
        <w:footnoteRef/>
      </w:r>
      <w:r>
        <w:t xml:space="preserve">  Staff’s Reply Brief at 10.  </w:t>
      </w:r>
    </w:p>
  </w:footnote>
  <w:footnote w:id="84">
    <w:p w14:paraId="5A4A05C1" w14:textId="5409FB00" w:rsidR="00C41927" w:rsidRPr="00C41927" w:rsidRDefault="00C41927" w:rsidP="004E6673">
      <w:pPr>
        <w:pStyle w:val="FootnoteText"/>
        <w:spacing w:line="240" w:lineRule="auto"/>
      </w:pPr>
      <w:r>
        <w:rPr>
          <w:rStyle w:val="FootnoteReference"/>
        </w:rPr>
        <w:footnoteRef/>
      </w:r>
      <w:r>
        <w:t xml:space="preserve">  </w:t>
      </w:r>
      <w:r>
        <w:rPr>
          <w:i/>
          <w:iCs/>
        </w:rPr>
        <w:t>Id</w:t>
      </w:r>
      <w:r>
        <w:t>.</w:t>
      </w:r>
    </w:p>
  </w:footnote>
  <w:footnote w:id="85">
    <w:p w14:paraId="632F8842" w14:textId="216CB143" w:rsidR="00C41927" w:rsidRDefault="00C41927" w:rsidP="004E6673">
      <w:pPr>
        <w:pStyle w:val="FootnoteText"/>
        <w:spacing w:line="240" w:lineRule="auto"/>
      </w:pPr>
      <w:r>
        <w:rPr>
          <w:rStyle w:val="FootnoteReference"/>
        </w:rPr>
        <w:footnoteRef/>
      </w:r>
      <w:r>
        <w:t xml:space="preserve">  </w:t>
      </w:r>
      <w:r>
        <w:rPr>
          <w:i/>
          <w:iCs/>
        </w:rPr>
        <w:t>Id</w:t>
      </w:r>
      <w:r>
        <w:t xml:space="preserve">.  </w:t>
      </w:r>
    </w:p>
  </w:footnote>
  <w:footnote w:id="86">
    <w:p w14:paraId="3687E86C" w14:textId="6B54E9AF" w:rsidR="00C41927" w:rsidRDefault="00C41927" w:rsidP="004E6673">
      <w:pPr>
        <w:pStyle w:val="FootnoteText"/>
        <w:spacing w:line="240" w:lineRule="auto"/>
      </w:pPr>
      <w:r>
        <w:rPr>
          <w:rStyle w:val="FootnoteReference"/>
        </w:rPr>
        <w:footnoteRef/>
      </w:r>
      <w:r>
        <w:t xml:space="preserve">  Staff’s Initial Brief at 12-13. </w:t>
      </w:r>
    </w:p>
  </w:footnote>
  <w:footnote w:id="87">
    <w:p w14:paraId="78D78498" w14:textId="5A4EC19C" w:rsidR="00391636" w:rsidRDefault="00391636" w:rsidP="004E6673">
      <w:pPr>
        <w:pStyle w:val="FootnoteText"/>
        <w:spacing w:line="240" w:lineRule="auto"/>
      </w:pPr>
      <w:r>
        <w:rPr>
          <w:rStyle w:val="FootnoteReference"/>
        </w:rPr>
        <w:footnoteRef/>
      </w:r>
      <w:r>
        <w:t xml:space="preserve">  PFD at 35-38.</w:t>
      </w:r>
    </w:p>
  </w:footnote>
  <w:footnote w:id="88">
    <w:p w14:paraId="6F84AC01" w14:textId="2D6E61A1" w:rsidR="00391636" w:rsidRDefault="00391636" w:rsidP="004E6673">
      <w:pPr>
        <w:pStyle w:val="FootnoteText"/>
        <w:spacing w:line="240" w:lineRule="auto"/>
      </w:pPr>
      <w:r>
        <w:rPr>
          <w:rStyle w:val="FootnoteReference"/>
        </w:rPr>
        <w:footnoteRef/>
      </w:r>
      <w:r>
        <w:t xml:space="preserve">  </w:t>
      </w:r>
      <w:r>
        <w:rPr>
          <w:i/>
          <w:iCs/>
        </w:rPr>
        <w:t>Id</w:t>
      </w:r>
      <w:r>
        <w:t>. at 36</w:t>
      </w:r>
      <w:r w:rsidR="007F3178">
        <w:t>-38</w:t>
      </w:r>
      <w:r>
        <w:t xml:space="preserve">. </w:t>
      </w:r>
    </w:p>
  </w:footnote>
  <w:footnote w:id="89">
    <w:p w14:paraId="56B1963B" w14:textId="7CDA01B5" w:rsidR="00647523" w:rsidRDefault="00647523" w:rsidP="004E6673">
      <w:pPr>
        <w:pStyle w:val="FootnoteText"/>
        <w:spacing w:line="240" w:lineRule="auto"/>
      </w:pPr>
      <w:r>
        <w:rPr>
          <w:rStyle w:val="FootnoteReference"/>
        </w:rPr>
        <w:footnoteRef/>
      </w:r>
      <w:r>
        <w:t xml:space="preserve">  Staff’s Reply Brief at 11. </w:t>
      </w:r>
    </w:p>
  </w:footnote>
  <w:footnote w:id="90">
    <w:p w14:paraId="314331C8" w14:textId="5758FF80" w:rsidR="00E23D35" w:rsidRPr="00E23D35" w:rsidRDefault="00E23D35" w:rsidP="004E6673">
      <w:pPr>
        <w:pStyle w:val="FootnoteText"/>
        <w:spacing w:line="240" w:lineRule="auto"/>
      </w:pPr>
      <w:r>
        <w:rPr>
          <w:rStyle w:val="FootnoteReference"/>
        </w:rPr>
        <w:footnoteRef/>
      </w:r>
      <w:r>
        <w:t xml:space="preserve">  </w:t>
      </w:r>
      <w:r>
        <w:rPr>
          <w:i/>
          <w:iCs/>
        </w:rPr>
        <w:t>See</w:t>
      </w:r>
      <w:r>
        <w:t xml:space="preserve"> ETI’s Reply Brief at 20</w:t>
      </w:r>
      <w:r w:rsidR="00F922AA">
        <w:t xml:space="preserve">. </w:t>
      </w:r>
      <w:r w:rsidR="008F3A74">
        <w:t>Staff notably disagrees, however, that the TECI Rider</w:t>
      </w:r>
      <w:r w:rsidR="00D11350">
        <w:t xml:space="preserve"> complies with </w:t>
      </w:r>
      <w:r w:rsidR="008D3A5E">
        <w:t xml:space="preserve">cost causation </w:t>
      </w:r>
      <w:r w:rsidR="00F922AA">
        <w:t>principles</w:t>
      </w:r>
      <w:r>
        <w:t>.</w:t>
      </w:r>
    </w:p>
  </w:footnote>
  <w:footnote w:id="91">
    <w:p w14:paraId="01FF8128" w14:textId="17D26328" w:rsidR="00E23D35" w:rsidRDefault="00E23D35" w:rsidP="004E6673">
      <w:pPr>
        <w:pStyle w:val="FootnoteText"/>
        <w:spacing w:line="240" w:lineRule="auto"/>
      </w:pPr>
      <w:r>
        <w:rPr>
          <w:rStyle w:val="FootnoteReference"/>
        </w:rPr>
        <w:footnoteRef/>
      </w:r>
      <w:r>
        <w:t xml:space="preserve">  Staff’s Reply Brief at 12.    </w:t>
      </w:r>
    </w:p>
  </w:footnote>
  <w:footnote w:id="92">
    <w:p w14:paraId="06FD420B" w14:textId="1640474E" w:rsidR="00EA6EAB" w:rsidRDefault="00EA6EAB" w:rsidP="004E6673">
      <w:pPr>
        <w:pStyle w:val="FootnoteText"/>
        <w:spacing w:line="240" w:lineRule="auto"/>
      </w:pPr>
      <w:r>
        <w:rPr>
          <w:rStyle w:val="FootnoteReference"/>
        </w:rPr>
        <w:footnoteRef/>
      </w:r>
      <w:r>
        <w:t xml:space="preserve">  Staff’s Initial Brief at 19. </w:t>
      </w:r>
    </w:p>
  </w:footnote>
  <w:footnote w:id="93">
    <w:p w14:paraId="758EFB29" w14:textId="2DCC29A1" w:rsidR="00D26D30" w:rsidRDefault="00D26D30" w:rsidP="004E6673">
      <w:pPr>
        <w:pStyle w:val="FootnoteText"/>
        <w:spacing w:line="240" w:lineRule="auto"/>
      </w:pPr>
      <w:r>
        <w:rPr>
          <w:rStyle w:val="FootnoteReference"/>
        </w:rPr>
        <w:footnoteRef/>
      </w:r>
      <w:r>
        <w:t xml:space="preserve">  </w:t>
      </w:r>
      <w:r w:rsidR="00EA6EAB" w:rsidRPr="00EA6EAB">
        <w:rPr>
          <w:i/>
          <w:iCs/>
        </w:rPr>
        <w:t>Id.</w:t>
      </w:r>
      <w:r w:rsidR="00EA6EAB">
        <w:t xml:space="preserve"> </w:t>
      </w:r>
      <w:r>
        <w:t xml:space="preserve">at 16.   </w:t>
      </w:r>
    </w:p>
  </w:footnote>
  <w:footnote w:id="94">
    <w:p w14:paraId="7B75173E" w14:textId="13AF59B9" w:rsidR="00D26D30" w:rsidRDefault="00D26D30" w:rsidP="004E6673">
      <w:pPr>
        <w:pStyle w:val="FootnoteText"/>
        <w:spacing w:line="240" w:lineRule="auto"/>
      </w:pPr>
      <w:r>
        <w:rPr>
          <w:rStyle w:val="FootnoteReference"/>
        </w:rPr>
        <w:footnoteRef/>
      </w:r>
      <w:r>
        <w:t xml:space="preserve">  </w:t>
      </w:r>
      <w:r>
        <w:rPr>
          <w:i/>
          <w:iCs/>
        </w:rPr>
        <w:t xml:space="preserve">See </w:t>
      </w:r>
      <w:r>
        <w:t>Direct Testimony of Eric S. Austin on Behalf of Walmart, Inc., Walmart Exhibit No. 1 at 9:11-12</w:t>
      </w:r>
      <w:r w:rsidR="00840CE0">
        <w:t xml:space="preserve">, </w:t>
      </w:r>
      <w:r>
        <w:t xml:space="preserve"> </w:t>
      </w:r>
      <w:r w:rsidR="00881F76">
        <w:t xml:space="preserve">Supplemental Direct Testimony of William B. Abbott, PUC Staff Exhibit No. 7 at </w:t>
      </w:r>
      <w:r w:rsidR="00840CE0">
        <w:t xml:space="preserve">bates </w:t>
      </w:r>
      <w:r w:rsidR="00881F76">
        <w:t>pages 8:22-9:3</w:t>
      </w:r>
      <w:r w:rsidR="00840CE0">
        <w:t>, and Direct Testimony of William B. Abbott, PUC Staff Exhibit No. 4 at bates pages 11:13-12:2</w:t>
      </w:r>
      <w:r w:rsidR="00881F76">
        <w:t>.</w:t>
      </w:r>
      <w:r>
        <w:t xml:space="preserve"> </w:t>
      </w:r>
    </w:p>
  </w:footnote>
  <w:footnote w:id="95">
    <w:p w14:paraId="63B7344C" w14:textId="7CA5EF2D" w:rsidR="007C22DD" w:rsidRDefault="007C22DD" w:rsidP="004E6673">
      <w:pPr>
        <w:pStyle w:val="FootnoteText"/>
        <w:spacing w:line="240" w:lineRule="auto"/>
      </w:pPr>
      <w:r>
        <w:rPr>
          <w:rStyle w:val="FootnoteReference"/>
        </w:rPr>
        <w:footnoteRef/>
      </w:r>
      <w:r>
        <w:t xml:space="preserve">  PFD at 29-30.</w:t>
      </w:r>
    </w:p>
  </w:footnote>
  <w:footnote w:id="96">
    <w:p w14:paraId="7B469CBC" w14:textId="233949D0" w:rsidR="00823A0B" w:rsidRDefault="00823A0B" w:rsidP="004E6673">
      <w:pPr>
        <w:pStyle w:val="FootnoteText"/>
        <w:spacing w:line="240" w:lineRule="auto"/>
      </w:pPr>
      <w:r>
        <w:rPr>
          <w:rStyle w:val="FootnoteReference"/>
        </w:rPr>
        <w:footnoteRef/>
      </w:r>
      <w:r>
        <w:t xml:space="preserve">  Staff’s Reply Brief at 14-15. </w:t>
      </w:r>
    </w:p>
  </w:footnote>
  <w:footnote w:id="97">
    <w:p w14:paraId="1F580E24" w14:textId="76CEE46F" w:rsidR="002256F9" w:rsidRDefault="002256F9" w:rsidP="004E6673">
      <w:pPr>
        <w:pStyle w:val="FootnoteText"/>
        <w:spacing w:line="240" w:lineRule="auto"/>
      </w:pPr>
      <w:r>
        <w:rPr>
          <w:rStyle w:val="FootnoteReference"/>
        </w:rPr>
        <w:footnoteRef/>
      </w:r>
      <w:r>
        <w:t xml:space="preserve">  OPUC’s Post-Hearing Reply Brief at 6 (Apr. 25, 2024).  </w:t>
      </w:r>
    </w:p>
  </w:footnote>
  <w:footnote w:id="98">
    <w:p w14:paraId="796057AB" w14:textId="601549F8" w:rsidR="002256F9" w:rsidRDefault="002256F9" w:rsidP="004E6673">
      <w:pPr>
        <w:pStyle w:val="FootnoteText"/>
        <w:spacing w:line="240" w:lineRule="auto"/>
      </w:pPr>
      <w:r>
        <w:rPr>
          <w:rStyle w:val="FootnoteReference"/>
        </w:rPr>
        <w:footnoteRef/>
      </w:r>
      <w:r>
        <w:t xml:space="preserve">  Docket No. 53719, Proposal for Decision at 37 (Jun. 19, 2023).  </w:t>
      </w:r>
    </w:p>
  </w:footnote>
  <w:footnote w:id="99">
    <w:p w14:paraId="15C21094" w14:textId="495D7CDE" w:rsidR="00EA6EAB" w:rsidRDefault="00EA6EAB" w:rsidP="004E6673">
      <w:pPr>
        <w:pStyle w:val="FootnoteText"/>
        <w:spacing w:line="240" w:lineRule="auto"/>
      </w:pPr>
      <w:r>
        <w:rPr>
          <w:rStyle w:val="FootnoteReference"/>
        </w:rPr>
        <w:footnoteRef/>
      </w:r>
      <w:r>
        <w:t xml:space="preserve">  Staff’s </w:t>
      </w:r>
      <w:r w:rsidR="00BB5D8E">
        <w:t xml:space="preserve">Initial </w:t>
      </w:r>
      <w:r>
        <w:t>Brief at 1</w:t>
      </w:r>
      <w:r w:rsidR="00BB5D8E">
        <w:t>9</w:t>
      </w:r>
      <w:r>
        <w:t xml:space="preserve">. </w:t>
      </w:r>
    </w:p>
  </w:footnote>
  <w:footnote w:id="100">
    <w:p w14:paraId="1D4DA3FC" w14:textId="6A969E9C" w:rsidR="00EE0D1A" w:rsidRDefault="00EE0D1A" w:rsidP="004E6673">
      <w:pPr>
        <w:pStyle w:val="FootnoteText"/>
        <w:spacing w:line="240" w:lineRule="auto"/>
      </w:pPr>
      <w:r>
        <w:rPr>
          <w:rStyle w:val="FootnoteReference"/>
        </w:rPr>
        <w:footnoteRef/>
      </w:r>
      <w:r>
        <w:t xml:space="preserve">  PFD at 37. </w:t>
      </w:r>
    </w:p>
  </w:footnote>
  <w:footnote w:id="101">
    <w:p w14:paraId="05C4AC55" w14:textId="19474FA9" w:rsidR="00BF4F9D" w:rsidRDefault="00BF4F9D" w:rsidP="004E6673">
      <w:pPr>
        <w:pStyle w:val="FootnoteText"/>
        <w:spacing w:line="240" w:lineRule="auto"/>
      </w:pPr>
      <w:r>
        <w:rPr>
          <w:rStyle w:val="FootnoteReference"/>
        </w:rPr>
        <w:footnoteRef/>
      </w:r>
      <w:r>
        <w:t xml:space="preserve">  </w:t>
      </w:r>
      <w:r w:rsidR="00FC620E">
        <w:t>Staff’s Initial Brief</w:t>
      </w:r>
      <w:r>
        <w:t xml:space="preserve"> at 17. </w:t>
      </w:r>
    </w:p>
  </w:footnote>
  <w:footnote w:id="102">
    <w:p w14:paraId="6513EBC1" w14:textId="31C0F91C" w:rsidR="00BF4F9D" w:rsidRDefault="00BF4F9D" w:rsidP="004E6673">
      <w:pPr>
        <w:pStyle w:val="FootnoteText"/>
        <w:spacing w:line="240" w:lineRule="auto"/>
      </w:pPr>
      <w:r>
        <w:rPr>
          <w:rStyle w:val="FootnoteReference"/>
        </w:rPr>
        <w:footnoteRef/>
      </w:r>
      <w:r>
        <w:t xml:space="preserve">  </w:t>
      </w:r>
      <w:r>
        <w:rPr>
          <w:i/>
          <w:iCs/>
        </w:rPr>
        <w:t>Id</w:t>
      </w:r>
      <w:r>
        <w:t xml:space="preserve">. at 17-18. </w:t>
      </w:r>
    </w:p>
  </w:footnote>
  <w:footnote w:id="103">
    <w:p w14:paraId="3E7BB7F9" w14:textId="27296400" w:rsidR="00DE6C75" w:rsidRDefault="00DE6C75" w:rsidP="004E6673">
      <w:pPr>
        <w:pStyle w:val="FootnoteText"/>
        <w:spacing w:line="240" w:lineRule="auto"/>
      </w:pPr>
      <w:r>
        <w:rPr>
          <w:rStyle w:val="FootnoteReference"/>
        </w:rPr>
        <w:footnoteRef/>
      </w:r>
      <w:r>
        <w:t xml:space="preserve">  </w:t>
      </w:r>
      <w:bookmarkStart w:id="2" w:name="_Hlk173358255"/>
      <w:r>
        <w:rPr>
          <w:i/>
          <w:iCs/>
        </w:rPr>
        <w:t>Id</w:t>
      </w:r>
      <w:r>
        <w:rPr>
          <w:iCs/>
        </w:rPr>
        <w:t xml:space="preserve">. at 18 (citing to </w:t>
      </w:r>
      <w:r>
        <w:t xml:space="preserve">PUC Staff Exhibit No. 4 at bates pages 12:4-23 (citing to </w:t>
      </w:r>
      <w:r w:rsidRPr="00EC19F0">
        <w:rPr>
          <w:i/>
          <w:iCs/>
        </w:rPr>
        <w:t xml:space="preserve">Generic Issues Associated </w:t>
      </w:r>
      <w:r>
        <w:rPr>
          <w:i/>
          <w:iCs/>
        </w:rPr>
        <w:t>w</w:t>
      </w:r>
      <w:r w:rsidRPr="00EC19F0">
        <w:rPr>
          <w:i/>
          <w:iCs/>
        </w:rPr>
        <w:t xml:space="preserve">ith Applications </w:t>
      </w:r>
      <w:r>
        <w:rPr>
          <w:i/>
          <w:iCs/>
        </w:rPr>
        <w:t>f</w:t>
      </w:r>
      <w:r w:rsidRPr="00EC19F0">
        <w:rPr>
          <w:i/>
          <w:iCs/>
        </w:rPr>
        <w:t xml:space="preserve">or Approval </w:t>
      </w:r>
      <w:r>
        <w:rPr>
          <w:i/>
          <w:iCs/>
        </w:rPr>
        <w:t>o</w:t>
      </w:r>
      <w:r w:rsidRPr="00EC19F0">
        <w:rPr>
          <w:i/>
          <w:iCs/>
        </w:rPr>
        <w:t xml:space="preserve">f Unbundled Cost </w:t>
      </w:r>
      <w:r>
        <w:rPr>
          <w:i/>
          <w:iCs/>
        </w:rPr>
        <w:t>o</w:t>
      </w:r>
      <w:r w:rsidRPr="00EC19F0">
        <w:rPr>
          <w:i/>
          <w:iCs/>
        </w:rPr>
        <w:t xml:space="preserve">f Service Rate Pursuant </w:t>
      </w:r>
      <w:r>
        <w:rPr>
          <w:i/>
          <w:iCs/>
        </w:rPr>
        <w:t>t</w:t>
      </w:r>
      <w:r w:rsidRPr="00EC19F0">
        <w:rPr>
          <w:i/>
          <w:iCs/>
        </w:rPr>
        <w:t>o P</w:t>
      </w:r>
      <w:r>
        <w:rPr>
          <w:i/>
          <w:iCs/>
        </w:rPr>
        <w:t>URA</w:t>
      </w:r>
      <w:r w:rsidRPr="00EC19F0">
        <w:rPr>
          <w:i/>
          <w:iCs/>
        </w:rPr>
        <w:t xml:space="preserve"> </w:t>
      </w:r>
      <w:r w:rsidRPr="008A3B2F">
        <w:t>§</w:t>
      </w:r>
      <w:r>
        <w:t xml:space="preserve"> </w:t>
      </w:r>
      <w:r w:rsidRPr="00EC19F0">
        <w:rPr>
          <w:i/>
          <w:iCs/>
        </w:rPr>
        <w:t xml:space="preserve">39.201 </w:t>
      </w:r>
      <w:r>
        <w:rPr>
          <w:i/>
          <w:iCs/>
        </w:rPr>
        <w:t>a</w:t>
      </w:r>
      <w:r w:rsidRPr="00EC19F0">
        <w:rPr>
          <w:i/>
          <w:iCs/>
        </w:rPr>
        <w:t>nd Public Utility Commission Subst</w:t>
      </w:r>
      <w:r>
        <w:rPr>
          <w:i/>
          <w:iCs/>
        </w:rPr>
        <w:t xml:space="preserve">antive </w:t>
      </w:r>
      <w:r w:rsidRPr="00EC19F0">
        <w:rPr>
          <w:i/>
          <w:iCs/>
        </w:rPr>
        <w:t>R</w:t>
      </w:r>
      <w:r>
        <w:rPr>
          <w:i/>
          <w:iCs/>
        </w:rPr>
        <w:t xml:space="preserve">ule </w:t>
      </w:r>
      <w:r w:rsidRPr="008A3B2F">
        <w:t>§</w:t>
      </w:r>
      <w:r>
        <w:t> </w:t>
      </w:r>
      <w:r w:rsidRPr="00EC19F0">
        <w:rPr>
          <w:i/>
          <w:iCs/>
        </w:rPr>
        <w:t>25.344</w:t>
      </w:r>
      <w:r>
        <w:t xml:space="preserve">, </w:t>
      </w:r>
      <w:r w:rsidRPr="00DD02C1">
        <w:t>Order No. 40: Interim Order Establishing Generic Customer Classification And Rate Design</w:t>
      </w:r>
      <w:r>
        <w:t xml:space="preserve"> at 1 and 5-7 (Nov. 22, 2000))). </w:t>
      </w:r>
      <w:bookmarkEnd w:id="2"/>
      <w:r>
        <w:t xml:space="preserve"> </w:t>
      </w:r>
    </w:p>
  </w:footnote>
  <w:footnote w:id="104">
    <w:p w14:paraId="198F4578" w14:textId="7FA05199" w:rsidR="00217668" w:rsidRDefault="00217668" w:rsidP="004E6673">
      <w:pPr>
        <w:pStyle w:val="FootnoteText"/>
        <w:spacing w:line="240" w:lineRule="auto"/>
      </w:pPr>
      <w:r>
        <w:rPr>
          <w:rStyle w:val="FootnoteReference"/>
        </w:rPr>
        <w:footnoteRef/>
      </w:r>
      <w:r>
        <w:t xml:space="preserve">  </w:t>
      </w:r>
      <w:r>
        <w:rPr>
          <w:i/>
          <w:iCs/>
        </w:rPr>
        <w:t>Id</w:t>
      </w:r>
      <w:r>
        <w:rPr>
          <w:iCs/>
        </w:rPr>
        <w:t xml:space="preserve">. at 18 (citing to </w:t>
      </w:r>
      <w:r>
        <w:t xml:space="preserve">PUC Staff Exhibit No. 4 at bates pages 12:4-23 (citing to </w:t>
      </w:r>
      <w:r w:rsidRPr="00EC19F0">
        <w:rPr>
          <w:i/>
          <w:iCs/>
        </w:rPr>
        <w:t xml:space="preserve">Generic Issues Associated </w:t>
      </w:r>
      <w:r>
        <w:rPr>
          <w:i/>
          <w:iCs/>
        </w:rPr>
        <w:t>w</w:t>
      </w:r>
      <w:r w:rsidRPr="00EC19F0">
        <w:rPr>
          <w:i/>
          <w:iCs/>
        </w:rPr>
        <w:t xml:space="preserve">ith Applications </w:t>
      </w:r>
      <w:r>
        <w:rPr>
          <w:i/>
          <w:iCs/>
        </w:rPr>
        <w:t>f</w:t>
      </w:r>
      <w:r w:rsidRPr="00EC19F0">
        <w:rPr>
          <w:i/>
          <w:iCs/>
        </w:rPr>
        <w:t xml:space="preserve">or Approval </w:t>
      </w:r>
      <w:r>
        <w:rPr>
          <w:i/>
          <w:iCs/>
        </w:rPr>
        <w:t>o</w:t>
      </w:r>
      <w:r w:rsidRPr="00EC19F0">
        <w:rPr>
          <w:i/>
          <w:iCs/>
        </w:rPr>
        <w:t xml:space="preserve">f Unbundled Cost </w:t>
      </w:r>
      <w:r>
        <w:rPr>
          <w:i/>
          <w:iCs/>
        </w:rPr>
        <w:t>o</w:t>
      </w:r>
      <w:r w:rsidRPr="00EC19F0">
        <w:rPr>
          <w:i/>
          <w:iCs/>
        </w:rPr>
        <w:t xml:space="preserve">f Service Rate Pursuant </w:t>
      </w:r>
      <w:r>
        <w:rPr>
          <w:i/>
          <w:iCs/>
        </w:rPr>
        <w:t>t</w:t>
      </w:r>
      <w:r w:rsidRPr="00EC19F0">
        <w:rPr>
          <w:i/>
          <w:iCs/>
        </w:rPr>
        <w:t>o P</w:t>
      </w:r>
      <w:r>
        <w:rPr>
          <w:i/>
          <w:iCs/>
        </w:rPr>
        <w:t>URA</w:t>
      </w:r>
      <w:r w:rsidRPr="00EC19F0">
        <w:rPr>
          <w:i/>
          <w:iCs/>
        </w:rPr>
        <w:t xml:space="preserve"> </w:t>
      </w:r>
      <w:r w:rsidRPr="008A3B2F">
        <w:t>§</w:t>
      </w:r>
      <w:r>
        <w:t xml:space="preserve"> </w:t>
      </w:r>
      <w:r w:rsidRPr="00EC19F0">
        <w:rPr>
          <w:i/>
          <w:iCs/>
        </w:rPr>
        <w:t xml:space="preserve">39.201 </w:t>
      </w:r>
      <w:r>
        <w:rPr>
          <w:i/>
          <w:iCs/>
        </w:rPr>
        <w:t>a</w:t>
      </w:r>
      <w:r w:rsidRPr="00EC19F0">
        <w:rPr>
          <w:i/>
          <w:iCs/>
        </w:rPr>
        <w:t>nd Public Utility Commission Subst</w:t>
      </w:r>
      <w:r>
        <w:rPr>
          <w:i/>
          <w:iCs/>
        </w:rPr>
        <w:t xml:space="preserve">antive </w:t>
      </w:r>
      <w:r w:rsidRPr="00EC19F0">
        <w:rPr>
          <w:i/>
          <w:iCs/>
        </w:rPr>
        <w:t>R</w:t>
      </w:r>
      <w:r>
        <w:rPr>
          <w:i/>
          <w:iCs/>
        </w:rPr>
        <w:t xml:space="preserve">ule </w:t>
      </w:r>
      <w:r w:rsidRPr="008A3B2F">
        <w:t>§</w:t>
      </w:r>
      <w:r>
        <w:t> </w:t>
      </w:r>
      <w:r w:rsidRPr="00EC19F0">
        <w:rPr>
          <w:i/>
          <w:iCs/>
        </w:rPr>
        <w:t>25.344</w:t>
      </w:r>
      <w:r>
        <w:t xml:space="preserve">, </w:t>
      </w:r>
      <w:r w:rsidRPr="00DD02C1">
        <w:t>Order No. 40: Interim Order Establishing Generic Customer Classification And Rate Design</w:t>
      </w:r>
      <w:r>
        <w:t xml:space="preserve"> at 1 and 5-7 (Nov. 22, 2000))).</w:t>
      </w:r>
    </w:p>
  </w:footnote>
  <w:footnote w:id="105">
    <w:p w14:paraId="4402C7A9" w14:textId="01441281" w:rsidR="00217668" w:rsidRDefault="00217668" w:rsidP="004E6673">
      <w:pPr>
        <w:pStyle w:val="FootnoteText"/>
        <w:spacing w:line="240" w:lineRule="auto"/>
      </w:pPr>
      <w:r>
        <w:rPr>
          <w:rStyle w:val="FootnoteReference"/>
        </w:rPr>
        <w:footnoteRef/>
      </w:r>
      <w:r>
        <w:t xml:space="preserve">  </w:t>
      </w:r>
      <w:r>
        <w:rPr>
          <w:i/>
          <w:iCs/>
        </w:rPr>
        <w:t>Id</w:t>
      </w:r>
      <w:r>
        <w:t xml:space="preserve">. at 17.  </w:t>
      </w:r>
    </w:p>
  </w:footnote>
  <w:footnote w:id="106">
    <w:p w14:paraId="2D4FB245" w14:textId="0D98B69F" w:rsidR="00217668" w:rsidRDefault="00217668" w:rsidP="004E6673">
      <w:pPr>
        <w:pStyle w:val="FootnoteText"/>
        <w:spacing w:line="240" w:lineRule="auto"/>
      </w:pPr>
      <w:r>
        <w:rPr>
          <w:rStyle w:val="FootnoteReference"/>
        </w:rPr>
        <w:footnoteRef/>
      </w:r>
      <w:r>
        <w:t xml:space="preserve">  </w:t>
      </w:r>
      <w:r>
        <w:rPr>
          <w:i/>
          <w:iCs/>
        </w:rPr>
        <w:t>Id</w:t>
      </w:r>
      <w:r>
        <w:t xml:space="preserve">. at 18. </w:t>
      </w:r>
    </w:p>
  </w:footnote>
  <w:footnote w:id="107">
    <w:p w14:paraId="4BCB8ACD" w14:textId="6FC87801" w:rsidR="00C0387F" w:rsidRDefault="00C0387F" w:rsidP="004E6673">
      <w:pPr>
        <w:pStyle w:val="FootnoteText"/>
        <w:spacing w:line="240" w:lineRule="auto"/>
      </w:pPr>
      <w:r>
        <w:rPr>
          <w:rStyle w:val="FootnoteReference"/>
        </w:rPr>
        <w:footnoteRef/>
      </w:r>
      <w:r>
        <w:t xml:space="preserve">  Staff’s Reply Brief at 12. </w:t>
      </w:r>
    </w:p>
  </w:footnote>
  <w:footnote w:id="108">
    <w:p w14:paraId="15A5B239" w14:textId="617A95A4" w:rsidR="00C0387F" w:rsidRDefault="00C0387F" w:rsidP="004E6673">
      <w:pPr>
        <w:pStyle w:val="FootnoteText"/>
        <w:spacing w:line="240" w:lineRule="auto"/>
      </w:pPr>
      <w:r>
        <w:rPr>
          <w:rStyle w:val="FootnoteReference"/>
        </w:rPr>
        <w:footnoteRef/>
      </w:r>
      <w:r>
        <w:t xml:space="preserve">  </w:t>
      </w:r>
      <w:r>
        <w:rPr>
          <w:i/>
          <w:iCs/>
        </w:rPr>
        <w:t>Id</w:t>
      </w:r>
      <w:r>
        <w:t xml:space="preserve">.  </w:t>
      </w:r>
    </w:p>
  </w:footnote>
  <w:footnote w:id="109">
    <w:p w14:paraId="5A98C2B2" w14:textId="221A2DCC" w:rsidR="00C0387F" w:rsidRDefault="00C0387F" w:rsidP="004E6673">
      <w:pPr>
        <w:pStyle w:val="FootnoteText"/>
        <w:spacing w:line="240" w:lineRule="auto"/>
      </w:pPr>
      <w:r>
        <w:rPr>
          <w:rStyle w:val="FootnoteReference"/>
        </w:rPr>
        <w:footnoteRef/>
      </w:r>
      <w:r>
        <w:t xml:space="preserve">  </w:t>
      </w:r>
      <w:r>
        <w:rPr>
          <w:i/>
          <w:iCs/>
        </w:rPr>
        <w:t>Id</w:t>
      </w:r>
      <w:r>
        <w:t>. (citing to</w:t>
      </w:r>
      <w:r>
        <w:rPr>
          <w:i/>
          <w:iCs/>
        </w:rPr>
        <w:t xml:space="preserve"> </w:t>
      </w:r>
      <w:r w:rsidRPr="009F1913">
        <w:rPr>
          <w:i/>
          <w:iCs/>
        </w:rPr>
        <w:t>Rulemaking to Establish Billing Demand For Certain Utility Customers Pursuant to PURA § 36.009</w:t>
      </w:r>
      <w:r>
        <w:t xml:space="preserve">, Project No. 39829, Order Adopting Amendment to </w:t>
      </w:r>
      <w:r w:rsidRPr="00FA1BCA">
        <w:t>§</w:t>
      </w:r>
      <w:r>
        <w:t xml:space="preserve"> 25.244 as Approved at the May 18, 2012 Open Meeting at 45 (May 22, 2012)).    </w:t>
      </w:r>
    </w:p>
  </w:footnote>
  <w:footnote w:id="110">
    <w:p w14:paraId="39DBC5D6" w14:textId="6AD3F381" w:rsidR="009F48AF" w:rsidRDefault="009F48AF" w:rsidP="004E6673">
      <w:pPr>
        <w:pStyle w:val="FootnoteText"/>
        <w:spacing w:line="240" w:lineRule="auto"/>
      </w:pPr>
      <w:r>
        <w:rPr>
          <w:rStyle w:val="FootnoteReference"/>
        </w:rPr>
        <w:footnoteRef/>
      </w:r>
      <w:r>
        <w:t xml:space="preserve">  </w:t>
      </w:r>
      <w:r>
        <w:rPr>
          <w:i/>
          <w:iCs/>
        </w:rPr>
        <w:t>Id</w:t>
      </w:r>
      <w:r>
        <w:t xml:space="preserve">. </w:t>
      </w:r>
    </w:p>
  </w:footnote>
  <w:footnote w:id="111">
    <w:p w14:paraId="317219E8" w14:textId="140D3510" w:rsidR="00C0387F" w:rsidRDefault="00C0387F" w:rsidP="004E6673">
      <w:pPr>
        <w:pStyle w:val="FootnoteText"/>
        <w:spacing w:line="240" w:lineRule="auto"/>
      </w:pPr>
      <w:r>
        <w:rPr>
          <w:rStyle w:val="FootnoteReference"/>
        </w:rPr>
        <w:footnoteRef/>
      </w:r>
      <w:r>
        <w:t xml:space="preserve">  </w:t>
      </w:r>
      <w:r>
        <w:rPr>
          <w:i/>
          <w:iCs/>
        </w:rPr>
        <w:t>Id</w:t>
      </w:r>
      <w:r>
        <w:t xml:space="preserve">. at </w:t>
      </w:r>
      <w:r w:rsidR="009F48AF">
        <w:t xml:space="preserve">12-13 (citing to Project No. 39829, Order Adopting Amendment to </w:t>
      </w:r>
      <w:r w:rsidR="009F48AF" w:rsidRPr="00FA1BCA">
        <w:t>§</w:t>
      </w:r>
      <w:r w:rsidR="009F48AF">
        <w:t xml:space="preserve"> 25.244 as Approved at the May 18, 2012 Open Meeting at 48)</w:t>
      </w:r>
      <w:r>
        <w:t xml:space="preserve">. </w:t>
      </w:r>
    </w:p>
  </w:footnote>
  <w:footnote w:id="112">
    <w:p w14:paraId="63DFDEB6" w14:textId="2D6E7C8D" w:rsidR="004657E8" w:rsidRDefault="004657E8" w:rsidP="004E6673">
      <w:pPr>
        <w:pStyle w:val="FootnoteText"/>
        <w:spacing w:line="240" w:lineRule="auto"/>
      </w:pPr>
      <w:r>
        <w:rPr>
          <w:rStyle w:val="FootnoteReference"/>
        </w:rPr>
        <w:footnoteRef/>
      </w:r>
      <w:r>
        <w:t xml:space="preserve">  </w:t>
      </w:r>
      <w:r>
        <w:rPr>
          <w:i/>
          <w:iCs/>
        </w:rPr>
        <w:t>Id</w:t>
      </w:r>
      <w:r>
        <w:t>. at 13</w:t>
      </w:r>
      <w:r w:rsidR="001841CA">
        <w:t>.</w:t>
      </w:r>
      <w:r>
        <w:t xml:space="preserve"> </w:t>
      </w:r>
    </w:p>
  </w:footnote>
  <w:footnote w:id="113">
    <w:p w14:paraId="0CD08A65" w14:textId="59F96E8F" w:rsidR="004657E8" w:rsidRDefault="004657E8" w:rsidP="004E6673">
      <w:pPr>
        <w:pStyle w:val="FootnoteText"/>
        <w:spacing w:line="240" w:lineRule="auto"/>
      </w:pPr>
      <w:r>
        <w:rPr>
          <w:rStyle w:val="FootnoteReference"/>
        </w:rPr>
        <w:footnoteRef/>
      </w:r>
      <w:r>
        <w:t xml:space="preserve">  </w:t>
      </w:r>
      <w:r>
        <w:rPr>
          <w:i/>
          <w:iCs/>
        </w:rPr>
        <w:t>Id</w:t>
      </w:r>
      <w:r>
        <w:t xml:space="preserve">.  </w:t>
      </w:r>
    </w:p>
  </w:footnote>
  <w:footnote w:id="114">
    <w:p w14:paraId="01589AB3" w14:textId="390DCB22" w:rsidR="00C0387F" w:rsidRDefault="00C0387F" w:rsidP="004E6673">
      <w:pPr>
        <w:pStyle w:val="FootnoteText"/>
        <w:spacing w:line="240" w:lineRule="auto"/>
      </w:pPr>
      <w:r>
        <w:rPr>
          <w:rStyle w:val="FootnoteReference"/>
        </w:rPr>
        <w:footnoteRef/>
      </w:r>
      <w:r>
        <w:t xml:space="preserve">  </w:t>
      </w:r>
      <w:r>
        <w:rPr>
          <w:i/>
          <w:iCs/>
        </w:rPr>
        <w:t>Id</w:t>
      </w:r>
      <w:r>
        <w:t xml:space="preserve">. </w:t>
      </w:r>
      <w:r w:rsidR="004657E8">
        <w:t xml:space="preserve">(citing to Project No. 39829, Order Adopting Amendment to </w:t>
      </w:r>
      <w:r w:rsidR="004657E8" w:rsidRPr="00FA1BCA">
        <w:t>§</w:t>
      </w:r>
      <w:r w:rsidR="004657E8">
        <w:t xml:space="preserve"> 25.244 as Approved at the May 18, 2012 Open Meeting </w:t>
      </w:r>
      <w:r>
        <w:t>at 21</w:t>
      </w:r>
      <w:r w:rsidR="004657E8">
        <w:t>)</w:t>
      </w:r>
      <w:r>
        <w:t xml:space="preserve">. </w:t>
      </w:r>
    </w:p>
  </w:footnote>
  <w:footnote w:id="115">
    <w:p w14:paraId="40B2FC7B" w14:textId="54CB2B59" w:rsidR="001841CA" w:rsidRDefault="001841CA" w:rsidP="004E6673">
      <w:pPr>
        <w:pStyle w:val="FootnoteText"/>
        <w:spacing w:line="240" w:lineRule="auto"/>
      </w:pPr>
      <w:r>
        <w:rPr>
          <w:rStyle w:val="FootnoteReference"/>
        </w:rPr>
        <w:footnoteRef/>
      </w:r>
      <w:r>
        <w:t xml:space="preserve">  </w:t>
      </w:r>
      <w:r>
        <w:rPr>
          <w:i/>
          <w:iCs/>
        </w:rPr>
        <w:t>Id</w:t>
      </w:r>
      <w:r>
        <w:t xml:space="preserve">.  </w:t>
      </w:r>
    </w:p>
  </w:footnote>
  <w:footnote w:id="116">
    <w:p w14:paraId="11C073F9" w14:textId="2D539221" w:rsidR="0009754D" w:rsidRDefault="0009754D" w:rsidP="004E6673">
      <w:pPr>
        <w:pStyle w:val="FootnoteText"/>
        <w:spacing w:line="240" w:lineRule="auto"/>
      </w:pPr>
      <w:r>
        <w:rPr>
          <w:rStyle w:val="FootnoteReference"/>
        </w:rPr>
        <w:footnoteRef/>
      </w:r>
      <w:r>
        <w:t xml:space="preserve">  Staff’s Initial Brief at 17.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94B97"/>
    <w:multiLevelType w:val="hybridMultilevel"/>
    <w:tmpl w:val="9B86FFF4"/>
    <w:lvl w:ilvl="0" w:tplc="1F5EACFE">
      <w:start w:val="1"/>
      <w:numFmt w:val="upperLetter"/>
      <w:lvlText w:val="%1."/>
      <w:lvlJc w:val="left"/>
      <w:pPr>
        <w:ind w:left="720" w:hanging="360"/>
      </w:pPr>
      <w:rPr>
        <w:rFonts w:ascii="Times New Roman" w:eastAsiaTheme="minorHAnsi" w:hAnsi="Times New Roman" w:cstheme="minorBidi"/>
        <w:b/>
        <w:bCs w:val="0"/>
      </w:rPr>
    </w:lvl>
    <w:lvl w:ilvl="1" w:tplc="DE1C856E">
      <w:start w:val="1"/>
      <w:numFmt w:val="lowerLetter"/>
      <w:lvlText w:val="%2."/>
      <w:lvlJc w:val="left"/>
      <w:pPr>
        <w:ind w:left="1440" w:hanging="360"/>
      </w:pPr>
      <w:rPr>
        <w:b/>
        <w:bCs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7F2D24"/>
    <w:multiLevelType w:val="hybridMultilevel"/>
    <w:tmpl w:val="EFC274A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D51C40"/>
    <w:multiLevelType w:val="hybridMultilevel"/>
    <w:tmpl w:val="647A2252"/>
    <w:lvl w:ilvl="0" w:tplc="29D427E2">
      <w:start w:val="1"/>
      <w:numFmt w:val="upperLetter"/>
      <w:pStyle w:val="BriefHeading2"/>
      <w:lvlText w:val="%1."/>
      <w:lvlJc w:val="left"/>
      <w:pPr>
        <w:ind w:left="1800" w:hanging="360"/>
      </w:pPr>
      <w:rPr>
        <w:rFonts w:ascii="Times New Roman" w:hAnsi="Times New Roman" w:cs="Times New Roman" w:hint="default"/>
        <w:b/>
        <w:bCs/>
        <w:i w:val="0"/>
        <w:iCs w:val="0"/>
        <w:caps w:val="0"/>
        <w:strike w:val="0"/>
        <w:dstrike w:val="0"/>
        <w:outline w:val="0"/>
        <w:shadow w:val="0"/>
        <w:emboss w:val="0"/>
        <w:imprint w:val="0"/>
        <w:vanish w:val="0"/>
        <w:spacing w:val="0"/>
        <w:kern w:val="0"/>
        <w:position w:val="0"/>
        <w:sz w:val="24"/>
        <w:u w:val="none"/>
        <w:effect w:val="none"/>
        <w:vertAlign w:val="baseline"/>
        <w:em w:val="none"/>
        <w14:ligatures w14:val="none"/>
        <w14:numForm w14:val="default"/>
        <w14:numSpacing w14:val="default"/>
        <w14:stylisticSets/>
        <w14:cntxtAlts w14:val="0"/>
      </w:rPr>
    </w:lvl>
    <w:lvl w:ilvl="1" w:tplc="04090017">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0E004418"/>
    <w:multiLevelType w:val="hybridMultilevel"/>
    <w:tmpl w:val="CD5CD986"/>
    <w:lvl w:ilvl="0" w:tplc="77A45F16">
      <w:start w:val="1"/>
      <w:numFmt w:val="upperLetter"/>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F018BF"/>
    <w:multiLevelType w:val="hybridMultilevel"/>
    <w:tmpl w:val="0F5ED4A0"/>
    <w:lvl w:ilvl="0" w:tplc="D5FCBB7E">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4302775"/>
    <w:multiLevelType w:val="hybridMultilevel"/>
    <w:tmpl w:val="FBBE6E76"/>
    <w:lvl w:ilvl="0" w:tplc="586A36B0">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130D4F"/>
    <w:multiLevelType w:val="hybridMultilevel"/>
    <w:tmpl w:val="3962CE80"/>
    <w:lvl w:ilvl="0" w:tplc="FFFFFFFF">
      <w:start w:val="1"/>
      <w:numFmt w:val="lowerLetter"/>
      <w:lvlText w:val="%1."/>
      <w:lvlJc w:val="left"/>
      <w:pPr>
        <w:ind w:left="1440" w:hanging="360"/>
      </w:pPr>
      <w:rPr>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AC5048F"/>
    <w:multiLevelType w:val="hybridMultilevel"/>
    <w:tmpl w:val="2A8EEA16"/>
    <w:lvl w:ilvl="0" w:tplc="8536C9A4">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33575DAF"/>
    <w:multiLevelType w:val="hybridMultilevel"/>
    <w:tmpl w:val="1D3E1644"/>
    <w:lvl w:ilvl="0" w:tplc="168EAA5C">
      <w:start w:val="4"/>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 w15:restartNumberingAfterBreak="0">
    <w:nsid w:val="37B00E0C"/>
    <w:multiLevelType w:val="hybridMultilevel"/>
    <w:tmpl w:val="3962CE80"/>
    <w:lvl w:ilvl="0" w:tplc="DE1C856E">
      <w:start w:val="1"/>
      <w:numFmt w:val="lowerLetter"/>
      <w:lvlText w:val="%1."/>
      <w:lvlJc w:val="left"/>
      <w:pPr>
        <w:ind w:left="1440" w:hanging="360"/>
      </w:pPr>
      <w:rPr>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04E2ACB"/>
    <w:multiLevelType w:val="hybridMultilevel"/>
    <w:tmpl w:val="299246B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A3B7BF6"/>
    <w:multiLevelType w:val="hybridMultilevel"/>
    <w:tmpl w:val="CBA8707A"/>
    <w:lvl w:ilvl="0" w:tplc="146CF1AA">
      <w:start w:val="3"/>
      <w:numFmt w:val="decimal"/>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ED56CAE"/>
    <w:multiLevelType w:val="hybridMultilevel"/>
    <w:tmpl w:val="240A189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16cid:durableId="932906354">
    <w:abstractNumId w:val="2"/>
  </w:num>
  <w:num w:numId="2" w16cid:durableId="730349181">
    <w:abstractNumId w:val="7"/>
  </w:num>
  <w:num w:numId="3" w16cid:durableId="693388772">
    <w:abstractNumId w:val="0"/>
  </w:num>
  <w:num w:numId="4" w16cid:durableId="1762067557">
    <w:abstractNumId w:val="9"/>
  </w:num>
  <w:num w:numId="5" w16cid:durableId="1113981124">
    <w:abstractNumId w:val="6"/>
  </w:num>
  <w:num w:numId="6" w16cid:durableId="745301288">
    <w:abstractNumId w:val="3"/>
  </w:num>
  <w:num w:numId="7" w16cid:durableId="1455948636">
    <w:abstractNumId w:val="10"/>
  </w:num>
  <w:num w:numId="8" w16cid:durableId="724374651">
    <w:abstractNumId w:val="1"/>
  </w:num>
  <w:num w:numId="9" w16cid:durableId="1851411942">
    <w:abstractNumId w:val="8"/>
  </w:num>
  <w:num w:numId="10" w16cid:durableId="575820981">
    <w:abstractNumId w:val="12"/>
  </w:num>
  <w:num w:numId="11" w16cid:durableId="1042291194">
    <w:abstractNumId w:val="11"/>
  </w:num>
  <w:num w:numId="12" w16cid:durableId="679048523">
    <w:abstractNumId w:val="4"/>
  </w:num>
  <w:num w:numId="13" w16cid:durableId="1123424647">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0547"/>
    <w:rsid w:val="000005E3"/>
    <w:rsid w:val="0000107F"/>
    <w:rsid w:val="000038EE"/>
    <w:rsid w:val="00003D4B"/>
    <w:rsid w:val="00003FE4"/>
    <w:rsid w:val="00006869"/>
    <w:rsid w:val="0000724C"/>
    <w:rsid w:val="00007BCC"/>
    <w:rsid w:val="00010E82"/>
    <w:rsid w:val="00011009"/>
    <w:rsid w:val="00011906"/>
    <w:rsid w:val="00012779"/>
    <w:rsid w:val="000134BB"/>
    <w:rsid w:val="00014C28"/>
    <w:rsid w:val="0001507D"/>
    <w:rsid w:val="00015160"/>
    <w:rsid w:val="00015620"/>
    <w:rsid w:val="00015C32"/>
    <w:rsid w:val="00017405"/>
    <w:rsid w:val="00020A29"/>
    <w:rsid w:val="000233F8"/>
    <w:rsid w:val="00023A9A"/>
    <w:rsid w:val="00030B39"/>
    <w:rsid w:val="00032C29"/>
    <w:rsid w:val="00033637"/>
    <w:rsid w:val="00033D4A"/>
    <w:rsid w:val="000344CC"/>
    <w:rsid w:val="00034EC6"/>
    <w:rsid w:val="000357D5"/>
    <w:rsid w:val="00035901"/>
    <w:rsid w:val="00035C9B"/>
    <w:rsid w:val="00036132"/>
    <w:rsid w:val="000361DB"/>
    <w:rsid w:val="000367ED"/>
    <w:rsid w:val="00036F73"/>
    <w:rsid w:val="000403E1"/>
    <w:rsid w:val="00040624"/>
    <w:rsid w:val="00042E60"/>
    <w:rsid w:val="00043AFE"/>
    <w:rsid w:val="00044539"/>
    <w:rsid w:val="00044F41"/>
    <w:rsid w:val="00045AB1"/>
    <w:rsid w:val="000473E0"/>
    <w:rsid w:val="00050B08"/>
    <w:rsid w:val="00050EC3"/>
    <w:rsid w:val="000510AE"/>
    <w:rsid w:val="00051E07"/>
    <w:rsid w:val="00052C72"/>
    <w:rsid w:val="00056F74"/>
    <w:rsid w:val="000570C7"/>
    <w:rsid w:val="00061134"/>
    <w:rsid w:val="000612C6"/>
    <w:rsid w:val="000612D2"/>
    <w:rsid w:val="000621BB"/>
    <w:rsid w:val="000631C6"/>
    <w:rsid w:val="00064C93"/>
    <w:rsid w:val="00064D40"/>
    <w:rsid w:val="0006717D"/>
    <w:rsid w:val="00067DB9"/>
    <w:rsid w:val="00070A6C"/>
    <w:rsid w:val="00070FBB"/>
    <w:rsid w:val="00071BFA"/>
    <w:rsid w:val="00071DF2"/>
    <w:rsid w:val="00072EE4"/>
    <w:rsid w:val="00072FE5"/>
    <w:rsid w:val="00073B08"/>
    <w:rsid w:val="00073F8B"/>
    <w:rsid w:val="00075DC2"/>
    <w:rsid w:val="000767DB"/>
    <w:rsid w:val="00081B8D"/>
    <w:rsid w:val="00081F92"/>
    <w:rsid w:val="000857EC"/>
    <w:rsid w:val="000874E0"/>
    <w:rsid w:val="00087713"/>
    <w:rsid w:val="00090455"/>
    <w:rsid w:val="00092B02"/>
    <w:rsid w:val="0009361B"/>
    <w:rsid w:val="00093D5A"/>
    <w:rsid w:val="0009426E"/>
    <w:rsid w:val="00094D6D"/>
    <w:rsid w:val="00094E62"/>
    <w:rsid w:val="0009527C"/>
    <w:rsid w:val="000953A3"/>
    <w:rsid w:val="00096451"/>
    <w:rsid w:val="0009679D"/>
    <w:rsid w:val="0009754D"/>
    <w:rsid w:val="00097B0B"/>
    <w:rsid w:val="00097E25"/>
    <w:rsid w:val="000A251F"/>
    <w:rsid w:val="000A5159"/>
    <w:rsid w:val="000A685C"/>
    <w:rsid w:val="000A7B9D"/>
    <w:rsid w:val="000B0279"/>
    <w:rsid w:val="000B10C9"/>
    <w:rsid w:val="000B14BB"/>
    <w:rsid w:val="000B163B"/>
    <w:rsid w:val="000B1812"/>
    <w:rsid w:val="000B2AD3"/>
    <w:rsid w:val="000B40C6"/>
    <w:rsid w:val="000B4E08"/>
    <w:rsid w:val="000B50AF"/>
    <w:rsid w:val="000B5F1B"/>
    <w:rsid w:val="000B608D"/>
    <w:rsid w:val="000B7172"/>
    <w:rsid w:val="000B7F93"/>
    <w:rsid w:val="000C2CE5"/>
    <w:rsid w:val="000C4031"/>
    <w:rsid w:val="000C40C1"/>
    <w:rsid w:val="000C5715"/>
    <w:rsid w:val="000C6AF9"/>
    <w:rsid w:val="000D3CDD"/>
    <w:rsid w:val="000D3E07"/>
    <w:rsid w:val="000D467B"/>
    <w:rsid w:val="000D48F5"/>
    <w:rsid w:val="000D55BB"/>
    <w:rsid w:val="000D5C9F"/>
    <w:rsid w:val="000D5CD0"/>
    <w:rsid w:val="000D5F16"/>
    <w:rsid w:val="000D5F63"/>
    <w:rsid w:val="000D66B2"/>
    <w:rsid w:val="000E2134"/>
    <w:rsid w:val="000E26FE"/>
    <w:rsid w:val="000E2D64"/>
    <w:rsid w:val="000E31F7"/>
    <w:rsid w:val="000E3C06"/>
    <w:rsid w:val="000E68D8"/>
    <w:rsid w:val="000E6961"/>
    <w:rsid w:val="000E69EE"/>
    <w:rsid w:val="000F074C"/>
    <w:rsid w:val="000F1304"/>
    <w:rsid w:val="000F1B5D"/>
    <w:rsid w:val="000F1BCD"/>
    <w:rsid w:val="000F1F40"/>
    <w:rsid w:val="000F230C"/>
    <w:rsid w:val="000F3835"/>
    <w:rsid w:val="000F3B9E"/>
    <w:rsid w:val="000F479E"/>
    <w:rsid w:val="000F6BEB"/>
    <w:rsid w:val="000F7F9C"/>
    <w:rsid w:val="00100590"/>
    <w:rsid w:val="00101E9A"/>
    <w:rsid w:val="001020A6"/>
    <w:rsid w:val="001030B5"/>
    <w:rsid w:val="00104BD4"/>
    <w:rsid w:val="00105771"/>
    <w:rsid w:val="0010641D"/>
    <w:rsid w:val="00110850"/>
    <w:rsid w:val="0011214C"/>
    <w:rsid w:val="0011242C"/>
    <w:rsid w:val="001124BE"/>
    <w:rsid w:val="001139C2"/>
    <w:rsid w:val="00115938"/>
    <w:rsid w:val="001165B2"/>
    <w:rsid w:val="00116944"/>
    <w:rsid w:val="001171A2"/>
    <w:rsid w:val="00117709"/>
    <w:rsid w:val="00120446"/>
    <w:rsid w:val="001214B9"/>
    <w:rsid w:val="00121F47"/>
    <w:rsid w:val="00122637"/>
    <w:rsid w:val="00122C66"/>
    <w:rsid w:val="0012325F"/>
    <w:rsid w:val="001234DE"/>
    <w:rsid w:val="00123D29"/>
    <w:rsid w:val="00124CE3"/>
    <w:rsid w:val="00127224"/>
    <w:rsid w:val="00132937"/>
    <w:rsid w:val="00132C88"/>
    <w:rsid w:val="001347B7"/>
    <w:rsid w:val="00135B6C"/>
    <w:rsid w:val="0013609F"/>
    <w:rsid w:val="001368EA"/>
    <w:rsid w:val="001370E3"/>
    <w:rsid w:val="00137F7B"/>
    <w:rsid w:val="00140FCF"/>
    <w:rsid w:val="00143BAC"/>
    <w:rsid w:val="00143DBB"/>
    <w:rsid w:val="00144907"/>
    <w:rsid w:val="00144C1C"/>
    <w:rsid w:val="001454F2"/>
    <w:rsid w:val="00146C17"/>
    <w:rsid w:val="00147053"/>
    <w:rsid w:val="0015026B"/>
    <w:rsid w:val="00151409"/>
    <w:rsid w:val="00151B22"/>
    <w:rsid w:val="00151F49"/>
    <w:rsid w:val="00152A80"/>
    <w:rsid w:val="00152E43"/>
    <w:rsid w:val="00153F06"/>
    <w:rsid w:val="00155E1C"/>
    <w:rsid w:val="00160B90"/>
    <w:rsid w:val="00161065"/>
    <w:rsid w:val="001610BA"/>
    <w:rsid w:val="00162210"/>
    <w:rsid w:val="00163120"/>
    <w:rsid w:val="00164E9D"/>
    <w:rsid w:val="00166888"/>
    <w:rsid w:val="00166EF5"/>
    <w:rsid w:val="0016707F"/>
    <w:rsid w:val="00167865"/>
    <w:rsid w:val="00167B9A"/>
    <w:rsid w:val="00170B99"/>
    <w:rsid w:val="00170C23"/>
    <w:rsid w:val="00170CA0"/>
    <w:rsid w:val="001711C0"/>
    <w:rsid w:val="0017204A"/>
    <w:rsid w:val="0017269B"/>
    <w:rsid w:val="00172793"/>
    <w:rsid w:val="0017298A"/>
    <w:rsid w:val="00175083"/>
    <w:rsid w:val="001761B9"/>
    <w:rsid w:val="0017664D"/>
    <w:rsid w:val="00176D68"/>
    <w:rsid w:val="001778B1"/>
    <w:rsid w:val="0018010F"/>
    <w:rsid w:val="0018052C"/>
    <w:rsid w:val="00181542"/>
    <w:rsid w:val="00181B56"/>
    <w:rsid w:val="001841CA"/>
    <w:rsid w:val="001854E7"/>
    <w:rsid w:val="0018570B"/>
    <w:rsid w:val="0018589E"/>
    <w:rsid w:val="0018639E"/>
    <w:rsid w:val="00186CA5"/>
    <w:rsid w:val="00187404"/>
    <w:rsid w:val="001875BF"/>
    <w:rsid w:val="001900A4"/>
    <w:rsid w:val="0019034D"/>
    <w:rsid w:val="0019064B"/>
    <w:rsid w:val="0019111C"/>
    <w:rsid w:val="00191A60"/>
    <w:rsid w:val="00192DA1"/>
    <w:rsid w:val="001936C4"/>
    <w:rsid w:val="001944C5"/>
    <w:rsid w:val="00194CE0"/>
    <w:rsid w:val="001963AF"/>
    <w:rsid w:val="001971DC"/>
    <w:rsid w:val="00197531"/>
    <w:rsid w:val="001A0472"/>
    <w:rsid w:val="001A12BE"/>
    <w:rsid w:val="001A1A70"/>
    <w:rsid w:val="001A1EFA"/>
    <w:rsid w:val="001A2AB5"/>
    <w:rsid w:val="001A2D16"/>
    <w:rsid w:val="001A2D85"/>
    <w:rsid w:val="001A31A3"/>
    <w:rsid w:val="001A3F77"/>
    <w:rsid w:val="001A4B95"/>
    <w:rsid w:val="001A5B0D"/>
    <w:rsid w:val="001A67BB"/>
    <w:rsid w:val="001A7DBE"/>
    <w:rsid w:val="001B056A"/>
    <w:rsid w:val="001B0D9A"/>
    <w:rsid w:val="001B1983"/>
    <w:rsid w:val="001B23F7"/>
    <w:rsid w:val="001B322F"/>
    <w:rsid w:val="001B5377"/>
    <w:rsid w:val="001B576A"/>
    <w:rsid w:val="001B67CC"/>
    <w:rsid w:val="001C0EBF"/>
    <w:rsid w:val="001C211E"/>
    <w:rsid w:val="001C28A6"/>
    <w:rsid w:val="001C38BF"/>
    <w:rsid w:val="001C3BDA"/>
    <w:rsid w:val="001C58DB"/>
    <w:rsid w:val="001D030F"/>
    <w:rsid w:val="001D0B1E"/>
    <w:rsid w:val="001D0EFA"/>
    <w:rsid w:val="001D1F58"/>
    <w:rsid w:val="001D2477"/>
    <w:rsid w:val="001D27F9"/>
    <w:rsid w:val="001D4567"/>
    <w:rsid w:val="001D4CDE"/>
    <w:rsid w:val="001D6892"/>
    <w:rsid w:val="001D77FD"/>
    <w:rsid w:val="001E0547"/>
    <w:rsid w:val="001E059F"/>
    <w:rsid w:val="001E13DD"/>
    <w:rsid w:val="001E1DD3"/>
    <w:rsid w:val="001E1E75"/>
    <w:rsid w:val="001E30D8"/>
    <w:rsid w:val="001E55AB"/>
    <w:rsid w:val="001E55D1"/>
    <w:rsid w:val="001F036A"/>
    <w:rsid w:val="001F1583"/>
    <w:rsid w:val="001F3208"/>
    <w:rsid w:val="001F4590"/>
    <w:rsid w:val="001F5FDD"/>
    <w:rsid w:val="001F7336"/>
    <w:rsid w:val="001F7A59"/>
    <w:rsid w:val="002010BA"/>
    <w:rsid w:val="00201516"/>
    <w:rsid w:val="00201C92"/>
    <w:rsid w:val="0020241B"/>
    <w:rsid w:val="0020243D"/>
    <w:rsid w:val="0020279E"/>
    <w:rsid w:val="00202CE2"/>
    <w:rsid w:val="00202E09"/>
    <w:rsid w:val="00204479"/>
    <w:rsid w:val="0020452D"/>
    <w:rsid w:val="002046DB"/>
    <w:rsid w:val="0020473E"/>
    <w:rsid w:val="00204E83"/>
    <w:rsid w:val="00207342"/>
    <w:rsid w:val="00212186"/>
    <w:rsid w:val="00213366"/>
    <w:rsid w:val="0021350A"/>
    <w:rsid w:val="0021567A"/>
    <w:rsid w:val="002162CC"/>
    <w:rsid w:val="00216A9C"/>
    <w:rsid w:val="00217668"/>
    <w:rsid w:val="00217977"/>
    <w:rsid w:val="00220113"/>
    <w:rsid w:val="002204E2"/>
    <w:rsid w:val="0022173D"/>
    <w:rsid w:val="00222766"/>
    <w:rsid w:val="00222F61"/>
    <w:rsid w:val="002232C3"/>
    <w:rsid w:val="00224148"/>
    <w:rsid w:val="002241EF"/>
    <w:rsid w:val="002256F9"/>
    <w:rsid w:val="00226901"/>
    <w:rsid w:val="00226922"/>
    <w:rsid w:val="00226C69"/>
    <w:rsid w:val="00227044"/>
    <w:rsid w:val="00230417"/>
    <w:rsid w:val="0023091D"/>
    <w:rsid w:val="00231219"/>
    <w:rsid w:val="002329B6"/>
    <w:rsid w:val="0023325D"/>
    <w:rsid w:val="00237BC5"/>
    <w:rsid w:val="00242A64"/>
    <w:rsid w:val="0024377E"/>
    <w:rsid w:val="00243DFB"/>
    <w:rsid w:val="00243F80"/>
    <w:rsid w:val="00244237"/>
    <w:rsid w:val="0024442A"/>
    <w:rsid w:val="00245131"/>
    <w:rsid w:val="0024672D"/>
    <w:rsid w:val="00246C1C"/>
    <w:rsid w:val="00246DD4"/>
    <w:rsid w:val="00247F89"/>
    <w:rsid w:val="00250A35"/>
    <w:rsid w:val="0025134B"/>
    <w:rsid w:val="00253FE6"/>
    <w:rsid w:val="0025700B"/>
    <w:rsid w:val="00257658"/>
    <w:rsid w:val="00261079"/>
    <w:rsid w:val="00261AFE"/>
    <w:rsid w:val="00262FDF"/>
    <w:rsid w:val="00263FAC"/>
    <w:rsid w:val="002648BF"/>
    <w:rsid w:val="00264A4F"/>
    <w:rsid w:val="002678B1"/>
    <w:rsid w:val="00267906"/>
    <w:rsid w:val="00270C7B"/>
    <w:rsid w:val="00271524"/>
    <w:rsid w:val="00272208"/>
    <w:rsid w:val="00272523"/>
    <w:rsid w:val="002740AB"/>
    <w:rsid w:val="0027482A"/>
    <w:rsid w:val="00281C00"/>
    <w:rsid w:val="00282897"/>
    <w:rsid w:val="00283F39"/>
    <w:rsid w:val="00284D57"/>
    <w:rsid w:val="00285A49"/>
    <w:rsid w:val="002869BB"/>
    <w:rsid w:val="00286D26"/>
    <w:rsid w:val="00287CAA"/>
    <w:rsid w:val="0029005F"/>
    <w:rsid w:val="00291F70"/>
    <w:rsid w:val="00292E77"/>
    <w:rsid w:val="00293AE9"/>
    <w:rsid w:val="00293E66"/>
    <w:rsid w:val="00293ED7"/>
    <w:rsid w:val="0029452B"/>
    <w:rsid w:val="002959FD"/>
    <w:rsid w:val="00296BA8"/>
    <w:rsid w:val="002A1898"/>
    <w:rsid w:val="002A23AA"/>
    <w:rsid w:val="002A3FA2"/>
    <w:rsid w:val="002A4485"/>
    <w:rsid w:val="002A4C69"/>
    <w:rsid w:val="002A5C27"/>
    <w:rsid w:val="002A638C"/>
    <w:rsid w:val="002B0FC0"/>
    <w:rsid w:val="002B3E30"/>
    <w:rsid w:val="002B3FB9"/>
    <w:rsid w:val="002B4260"/>
    <w:rsid w:val="002B5E24"/>
    <w:rsid w:val="002B775F"/>
    <w:rsid w:val="002C05E7"/>
    <w:rsid w:val="002C05FD"/>
    <w:rsid w:val="002C199A"/>
    <w:rsid w:val="002C263C"/>
    <w:rsid w:val="002C4C90"/>
    <w:rsid w:val="002C4C99"/>
    <w:rsid w:val="002C5119"/>
    <w:rsid w:val="002C5B1C"/>
    <w:rsid w:val="002C5D86"/>
    <w:rsid w:val="002C7CA5"/>
    <w:rsid w:val="002D035A"/>
    <w:rsid w:val="002D081C"/>
    <w:rsid w:val="002D170C"/>
    <w:rsid w:val="002D3A76"/>
    <w:rsid w:val="002D3C8C"/>
    <w:rsid w:val="002D47AF"/>
    <w:rsid w:val="002D481E"/>
    <w:rsid w:val="002D543A"/>
    <w:rsid w:val="002D675E"/>
    <w:rsid w:val="002D6CD5"/>
    <w:rsid w:val="002D74BB"/>
    <w:rsid w:val="002D7FA9"/>
    <w:rsid w:val="002E00C4"/>
    <w:rsid w:val="002E01B7"/>
    <w:rsid w:val="002E2BAD"/>
    <w:rsid w:val="002E30F8"/>
    <w:rsid w:val="002E3F3F"/>
    <w:rsid w:val="002E45FE"/>
    <w:rsid w:val="002E552D"/>
    <w:rsid w:val="002E56E1"/>
    <w:rsid w:val="002E5BC8"/>
    <w:rsid w:val="002E749D"/>
    <w:rsid w:val="002F08B6"/>
    <w:rsid w:val="002F1DD6"/>
    <w:rsid w:val="002F2C50"/>
    <w:rsid w:val="002F3511"/>
    <w:rsid w:val="002F479D"/>
    <w:rsid w:val="002F4C4D"/>
    <w:rsid w:val="002F5D32"/>
    <w:rsid w:val="003009BC"/>
    <w:rsid w:val="003021A2"/>
    <w:rsid w:val="003026C6"/>
    <w:rsid w:val="00302872"/>
    <w:rsid w:val="00303344"/>
    <w:rsid w:val="003033F1"/>
    <w:rsid w:val="003039E3"/>
    <w:rsid w:val="00303A45"/>
    <w:rsid w:val="00303B80"/>
    <w:rsid w:val="00304085"/>
    <w:rsid w:val="00304814"/>
    <w:rsid w:val="00305298"/>
    <w:rsid w:val="003054AE"/>
    <w:rsid w:val="00305B1D"/>
    <w:rsid w:val="00307DA9"/>
    <w:rsid w:val="00311597"/>
    <w:rsid w:val="003129B4"/>
    <w:rsid w:val="00313356"/>
    <w:rsid w:val="00313D6A"/>
    <w:rsid w:val="00315D57"/>
    <w:rsid w:val="00316AE1"/>
    <w:rsid w:val="00317195"/>
    <w:rsid w:val="003175DE"/>
    <w:rsid w:val="00317775"/>
    <w:rsid w:val="00317B16"/>
    <w:rsid w:val="00320144"/>
    <w:rsid w:val="00321E73"/>
    <w:rsid w:val="00323162"/>
    <w:rsid w:val="003245DA"/>
    <w:rsid w:val="00324A5F"/>
    <w:rsid w:val="00324EB4"/>
    <w:rsid w:val="00327BD3"/>
    <w:rsid w:val="00330CED"/>
    <w:rsid w:val="00331320"/>
    <w:rsid w:val="00331646"/>
    <w:rsid w:val="00332458"/>
    <w:rsid w:val="00332756"/>
    <w:rsid w:val="00332B05"/>
    <w:rsid w:val="003346A4"/>
    <w:rsid w:val="00335709"/>
    <w:rsid w:val="003366FD"/>
    <w:rsid w:val="00336ACF"/>
    <w:rsid w:val="003377A7"/>
    <w:rsid w:val="0033797A"/>
    <w:rsid w:val="00341854"/>
    <w:rsid w:val="003434E8"/>
    <w:rsid w:val="0034364A"/>
    <w:rsid w:val="00343B39"/>
    <w:rsid w:val="00343C6E"/>
    <w:rsid w:val="00344167"/>
    <w:rsid w:val="003455B0"/>
    <w:rsid w:val="003478D9"/>
    <w:rsid w:val="00347ABF"/>
    <w:rsid w:val="00347B0E"/>
    <w:rsid w:val="00350089"/>
    <w:rsid w:val="00352627"/>
    <w:rsid w:val="00352DDC"/>
    <w:rsid w:val="00353641"/>
    <w:rsid w:val="00354B1C"/>
    <w:rsid w:val="00354EC2"/>
    <w:rsid w:val="00355B2E"/>
    <w:rsid w:val="003560C2"/>
    <w:rsid w:val="00356D32"/>
    <w:rsid w:val="0035711E"/>
    <w:rsid w:val="00357C92"/>
    <w:rsid w:val="003602F6"/>
    <w:rsid w:val="00360A0C"/>
    <w:rsid w:val="00361386"/>
    <w:rsid w:val="00361850"/>
    <w:rsid w:val="00361EE4"/>
    <w:rsid w:val="003623A4"/>
    <w:rsid w:val="00363A10"/>
    <w:rsid w:val="00363BD2"/>
    <w:rsid w:val="00364A21"/>
    <w:rsid w:val="00364EB2"/>
    <w:rsid w:val="0036723C"/>
    <w:rsid w:val="00367D1E"/>
    <w:rsid w:val="00370763"/>
    <w:rsid w:val="00372255"/>
    <w:rsid w:val="00372E88"/>
    <w:rsid w:val="00373A55"/>
    <w:rsid w:val="00374091"/>
    <w:rsid w:val="00374124"/>
    <w:rsid w:val="003744AE"/>
    <w:rsid w:val="003754C0"/>
    <w:rsid w:val="00375F64"/>
    <w:rsid w:val="00376672"/>
    <w:rsid w:val="00376B46"/>
    <w:rsid w:val="00377576"/>
    <w:rsid w:val="00377764"/>
    <w:rsid w:val="00382FC8"/>
    <w:rsid w:val="00384670"/>
    <w:rsid w:val="00384776"/>
    <w:rsid w:val="00384BB8"/>
    <w:rsid w:val="0038566A"/>
    <w:rsid w:val="00385F3D"/>
    <w:rsid w:val="0038660B"/>
    <w:rsid w:val="0038733C"/>
    <w:rsid w:val="0038776A"/>
    <w:rsid w:val="0039100B"/>
    <w:rsid w:val="00391636"/>
    <w:rsid w:val="00391798"/>
    <w:rsid w:val="00391CAF"/>
    <w:rsid w:val="00392B3D"/>
    <w:rsid w:val="0039363F"/>
    <w:rsid w:val="00394A70"/>
    <w:rsid w:val="0039591B"/>
    <w:rsid w:val="00395C14"/>
    <w:rsid w:val="00396681"/>
    <w:rsid w:val="003967FF"/>
    <w:rsid w:val="00397341"/>
    <w:rsid w:val="00397666"/>
    <w:rsid w:val="00397764"/>
    <w:rsid w:val="00397B95"/>
    <w:rsid w:val="003A0888"/>
    <w:rsid w:val="003A1ACE"/>
    <w:rsid w:val="003A1B53"/>
    <w:rsid w:val="003A25D7"/>
    <w:rsid w:val="003A2830"/>
    <w:rsid w:val="003A2B88"/>
    <w:rsid w:val="003A338C"/>
    <w:rsid w:val="003A399F"/>
    <w:rsid w:val="003A40CB"/>
    <w:rsid w:val="003A480A"/>
    <w:rsid w:val="003A4D4A"/>
    <w:rsid w:val="003A525F"/>
    <w:rsid w:val="003A53E1"/>
    <w:rsid w:val="003A6A66"/>
    <w:rsid w:val="003A7AD1"/>
    <w:rsid w:val="003B1A52"/>
    <w:rsid w:val="003B32EA"/>
    <w:rsid w:val="003B3790"/>
    <w:rsid w:val="003B6280"/>
    <w:rsid w:val="003B63DA"/>
    <w:rsid w:val="003B7656"/>
    <w:rsid w:val="003C06A1"/>
    <w:rsid w:val="003C0C4B"/>
    <w:rsid w:val="003C0E04"/>
    <w:rsid w:val="003C1CFB"/>
    <w:rsid w:val="003C3081"/>
    <w:rsid w:val="003C55F0"/>
    <w:rsid w:val="003C59E8"/>
    <w:rsid w:val="003C6393"/>
    <w:rsid w:val="003C7149"/>
    <w:rsid w:val="003C7D90"/>
    <w:rsid w:val="003D0321"/>
    <w:rsid w:val="003D152A"/>
    <w:rsid w:val="003D1D6C"/>
    <w:rsid w:val="003D3805"/>
    <w:rsid w:val="003D68F1"/>
    <w:rsid w:val="003E04B7"/>
    <w:rsid w:val="003E0C9E"/>
    <w:rsid w:val="003E1AA5"/>
    <w:rsid w:val="003E273E"/>
    <w:rsid w:val="003E2B24"/>
    <w:rsid w:val="003E4B21"/>
    <w:rsid w:val="003E5341"/>
    <w:rsid w:val="003E5D19"/>
    <w:rsid w:val="003E5D76"/>
    <w:rsid w:val="003E7A59"/>
    <w:rsid w:val="003F1294"/>
    <w:rsid w:val="003F1C2F"/>
    <w:rsid w:val="003F1E5E"/>
    <w:rsid w:val="003F25BA"/>
    <w:rsid w:val="003F2E43"/>
    <w:rsid w:val="003F2F01"/>
    <w:rsid w:val="003F2FA1"/>
    <w:rsid w:val="003F39EF"/>
    <w:rsid w:val="003F4E22"/>
    <w:rsid w:val="003F5691"/>
    <w:rsid w:val="003F72A0"/>
    <w:rsid w:val="003F72AC"/>
    <w:rsid w:val="00400EDE"/>
    <w:rsid w:val="00401E81"/>
    <w:rsid w:val="00403728"/>
    <w:rsid w:val="00403742"/>
    <w:rsid w:val="00403837"/>
    <w:rsid w:val="00403B88"/>
    <w:rsid w:val="00404493"/>
    <w:rsid w:val="00404814"/>
    <w:rsid w:val="00404FF6"/>
    <w:rsid w:val="0040561E"/>
    <w:rsid w:val="004057BE"/>
    <w:rsid w:val="00405C8B"/>
    <w:rsid w:val="00406987"/>
    <w:rsid w:val="00410006"/>
    <w:rsid w:val="00411868"/>
    <w:rsid w:val="0041248F"/>
    <w:rsid w:val="00414185"/>
    <w:rsid w:val="0041517D"/>
    <w:rsid w:val="00416F00"/>
    <w:rsid w:val="00417B33"/>
    <w:rsid w:val="00421158"/>
    <w:rsid w:val="00422A05"/>
    <w:rsid w:val="00423664"/>
    <w:rsid w:val="00424A83"/>
    <w:rsid w:val="00424B63"/>
    <w:rsid w:val="00424CBC"/>
    <w:rsid w:val="004259C2"/>
    <w:rsid w:val="00427625"/>
    <w:rsid w:val="00430419"/>
    <w:rsid w:val="004308EB"/>
    <w:rsid w:val="0043194E"/>
    <w:rsid w:val="00431A63"/>
    <w:rsid w:val="00433584"/>
    <w:rsid w:val="00434247"/>
    <w:rsid w:val="00435C56"/>
    <w:rsid w:val="00437F13"/>
    <w:rsid w:val="00441AAF"/>
    <w:rsid w:val="0044222D"/>
    <w:rsid w:val="00443866"/>
    <w:rsid w:val="0044411D"/>
    <w:rsid w:val="00444CA0"/>
    <w:rsid w:val="00444D53"/>
    <w:rsid w:val="00444FA3"/>
    <w:rsid w:val="00444FEA"/>
    <w:rsid w:val="004458E9"/>
    <w:rsid w:val="004478B0"/>
    <w:rsid w:val="0044798A"/>
    <w:rsid w:val="00450B55"/>
    <w:rsid w:val="00450C29"/>
    <w:rsid w:val="004512A5"/>
    <w:rsid w:val="004514D8"/>
    <w:rsid w:val="00451ADC"/>
    <w:rsid w:val="00452385"/>
    <w:rsid w:val="00453401"/>
    <w:rsid w:val="00453467"/>
    <w:rsid w:val="004540A3"/>
    <w:rsid w:val="004540CD"/>
    <w:rsid w:val="00455533"/>
    <w:rsid w:val="00455BED"/>
    <w:rsid w:val="00461FA8"/>
    <w:rsid w:val="004639F6"/>
    <w:rsid w:val="00464A13"/>
    <w:rsid w:val="00464D92"/>
    <w:rsid w:val="004657E8"/>
    <w:rsid w:val="00465B4E"/>
    <w:rsid w:val="00466151"/>
    <w:rsid w:val="004668FF"/>
    <w:rsid w:val="00466FD6"/>
    <w:rsid w:val="00467619"/>
    <w:rsid w:val="00467B4D"/>
    <w:rsid w:val="004723A6"/>
    <w:rsid w:val="00472755"/>
    <w:rsid w:val="00473325"/>
    <w:rsid w:val="00476292"/>
    <w:rsid w:val="00476631"/>
    <w:rsid w:val="00476E6C"/>
    <w:rsid w:val="00480FB2"/>
    <w:rsid w:val="00481A9B"/>
    <w:rsid w:val="0048295B"/>
    <w:rsid w:val="00483D52"/>
    <w:rsid w:val="004851A7"/>
    <w:rsid w:val="00485D02"/>
    <w:rsid w:val="00485D9D"/>
    <w:rsid w:val="00486951"/>
    <w:rsid w:val="0048785F"/>
    <w:rsid w:val="00490341"/>
    <w:rsid w:val="00490A07"/>
    <w:rsid w:val="00490A9A"/>
    <w:rsid w:val="00491257"/>
    <w:rsid w:val="004915DF"/>
    <w:rsid w:val="00492C92"/>
    <w:rsid w:val="004933EC"/>
    <w:rsid w:val="004954AB"/>
    <w:rsid w:val="004962A7"/>
    <w:rsid w:val="004964B1"/>
    <w:rsid w:val="004A0B94"/>
    <w:rsid w:val="004A2439"/>
    <w:rsid w:val="004A25AE"/>
    <w:rsid w:val="004A2910"/>
    <w:rsid w:val="004A38AA"/>
    <w:rsid w:val="004A425E"/>
    <w:rsid w:val="004A4C04"/>
    <w:rsid w:val="004A63A4"/>
    <w:rsid w:val="004A7FD3"/>
    <w:rsid w:val="004B006F"/>
    <w:rsid w:val="004B0907"/>
    <w:rsid w:val="004B17F5"/>
    <w:rsid w:val="004B351C"/>
    <w:rsid w:val="004B3625"/>
    <w:rsid w:val="004B4658"/>
    <w:rsid w:val="004B4A42"/>
    <w:rsid w:val="004B4BCE"/>
    <w:rsid w:val="004B548C"/>
    <w:rsid w:val="004B5570"/>
    <w:rsid w:val="004B5E67"/>
    <w:rsid w:val="004B62E4"/>
    <w:rsid w:val="004B66F7"/>
    <w:rsid w:val="004B721B"/>
    <w:rsid w:val="004B7D2B"/>
    <w:rsid w:val="004B7D91"/>
    <w:rsid w:val="004C2847"/>
    <w:rsid w:val="004C38F4"/>
    <w:rsid w:val="004C39EE"/>
    <w:rsid w:val="004C3CB9"/>
    <w:rsid w:val="004C4290"/>
    <w:rsid w:val="004C4866"/>
    <w:rsid w:val="004D0F4F"/>
    <w:rsid w:val="004D1653"/>
    <w:rsid w:val="004D16E4"/>
    <w:rsid w:val="004D20DD"/>
    <w:rsid w:val="004D2604"/>
    <w:rsid w:val="004D4F3A"/>
    <w:rsid w:val="004D55B7"/>
    <w:rsid w:val="004D5E0E"/>
    <w:rsid w:val="004E0878"/>
    <w:rsid w:val="004E1012"/>
    <w:rsid w:val="004E170B"/>
    <w:rsid w:val="004E4207"/>
    <w:rsid w:val="004E5152"/>
    <w:rsid w:val="004E563C"/>
    <w:rsid w:val="004E5BBF"/>
    <w:rsid w:val="004E6673"/>
    <w:rsid w:val="004E6ABC"/>
    <w:rsid w:val="004E77BC"/>
    <w:rsid w:val="004F0AAD"/>
    <w:rsid w:val="004F156C"/>
    <w:rsid w:val="004F1A2C"/>
    <w:rsid w:val="004F2DA2"/>
    <w:rsid w:val="004F3113"/>
    <w:rsid w:val="004F4430"/>
    <w:rsid w:val="004F49FC"/>
    <w:rsid w:val="004F5B2B"/>
    <w:rsid w:val="004F5E5B"/>
    <w:rsid w:val="004F61AF"/>
    <w:rsid w:val="004F6566"/>
    <w:rsid w:val="004F7C92"/>
    <w:rsid w:val="004F7D72"/>
    <w:rsid w:val="0050020D"/>
    <w:rsid w:val="00500466"/>
    <w:rsid w:val="005009D6"/>
    <w:rsid w:val="0050241E"/>
    <w:rsid w:val="005024E1"/>
    <w:rsid w:val="0050547C"/>
    <w:rsid w:val="00505A15"/>
    <w:rsid w:val="00506627"/>
    <w:rsid w:val="00507CB7"/>
    <w:rsid w:val="00507E61"/>
    <w:rsid w:val="00511210"/>
    <w:rsid w:val="005144EC"/>
    <w:rsid w:val="0051673C"/>
    <w:rsid w:val="00517C97"/>
    <w:rsid w:val="00520453"/>
    <w:rsid w:val="0052160C"/>
    <w:rsid w:val="00521C3F"/>
    <w:rsid w:val="00522414"/>
    <w:rsid w:val="0052318D"/>
    <w:rsid w:val="00523858"/>
    <w:rsid w:val="00524EDB"/>
    <w:rsid w:val="00525134"/>
    <w:rsid w:val="005253B1"/>
    <w:rsid w:val="005253F3"/>
    <w:rsid w:val="00525902"/>
    <w:rsid w:val="005275A4"/>
    <w:rsid w:val="005310CA"/>
    <w:rsid w:val="00532E9C"/>
    <w:rsid w:val="005339BC"/>
    <w:rsid w:val="00533B22"/>
    <w:rsid w:val="005345AE"/>
    <w:rsid w:val="00534BB1"/>
    <w:rsid w:val="00535BE4"/>
    <w:rsid w:val="00535DF6"/>
    <w:rsid w:val="005367E6"/>
    <w:rsid w:val="0054012D"/>
    <w:rsid w:val="0054099D"/>
    <w:rsid w:val="005410AB"/>
    <w:rsid w:val="005411B3"/>
    <w:rsid w:val="0054169B"/>
    <w:rsid w:val="005416FB"/>
    <w:rsid w:val="00541D14"/>
    <w:rsid w:val="00542785"/>
    <w:rsid w:val="005427C1"/>
    <w:rsid w:val="005446FE"/>
    <w:rsid w:val="005447C7"/>
    <w:rsid w:val="005448E3"/>
    <w:rsid w:val="00544C12"/>
    <w:rsid w:val="00546ACF"/>
    <w:rsid w:val="00550234"/>
    <w:rsid w:val="0055130A"/>
    <w:rsid w:val="005513FA"/>
    <w:rsid w:val="005528A6"/>
    <w:rsid w:val="005533A3"/>
    <w:rsid w:val="00553981"/>
    <w:rsid w:val="00553BD2"/>
    <w:rsid w:val="005544CE"/>
    <w:rsid w:val="00554E6A"/>
    <w:rsid w:val="00555089"/>
    <w:rsid w:val="00555E35"/>
    <w:rsid w:val="00557FD7"/>
    <w:rsid w:val="0056000C"/>
    <w:rsid w:val="0056128B"/>
    <w:rsid w:val="005617AE"/>
    <w:rsid w:val="00562E21"/>
    <w:rsid w:val="005639C1"/>
    <w:rsid w:val="005645B2"/>
    <w:rsid w:val="00570746"/>
    <w:rsid w:val="005718FF"/>
    <w:rsid w:val="0057306C"/>
    <w:rsid w:val="00574657"/>
    <w:rsid w:val="00574778"/>
    <w:rsid w:val="00575284"/>
    <w:rsid w:val="00575558"/>
    <w:rsid w:val="0057620A"/>
    <w:rsid w:val="00580BC6"/>
    <w:rsid w:val="00581BAC"/>
    <w:rsid w:val="00583E38"/>
    <w:rsid w:val="00585282"/>
    <w:rsid w:val="0058583D"/>
    <w:rsid w:val="0058609F"/>
    <w:rsid w:val="00586CE0"/>
    <w:rsid w:val="00587716"/>
    <w:rsid w:val="0059197A"/>
    <w:rsid w:val="00592146"/>
    <w:rsid w:val="00592A2D"/>
    <w:rsid w:val="005930A1"/>
    <w:rsid w:val="005930F7"/>
    <w:rsid w:val="0059586A"/>
    <w:rsid w:val="00595D01"/>
    <w:rsid w:val="00595FDD"/>
    <w:rsid w:val="0059639F"/>
    <w:rsid w:val="00596A01"/>
    <w:rsid w:val="00596DB2"/>
    <w:rsid w:val="00597EE5"/>
    <w:rsid w:val="005A142E"/>
    <w:rsid w:val="005A208D"/>
    <w:rsid w:val="005A2F3B"/>
    <w:rsid w:val="005A31F1"/>
    <w:rsid w:val="005A31FE"/>
    <w:rsid w:val="005A37FA"/>
    <w:rsid w:val="005A4082"/>
    <w:rsid w:val="005A410B"/>
    <w:rsid w:val="005A4262"/>
    <w:rsid w:val="005A54A7"/>
    <w:rsid w:val="005A6210"/>
    <w:rsid w:val="005A652A"/>
    <w:rsid w:val="005B068E"/>
    <w:rsid w:val="005B0A2F"/>
    <w:rsid w:val="005B11C1"/>
    <w:rsid w:val="005B19EB"/>
    <w:rsid w:val="005B1D18"/>
    <w:rsid w:val="005B2B3A"/>
    <w:rsid w:val="005B2E6E"/>
    <w:rsid w:val="005B3E2D"/>
    <w:rsid w:val="005B4444"/>
    <w:rsid w:val="005B6597"/>
    <w:rsid w:val="005B67F7"/>
    <w:rsid w:val="005B70EF"/>
    <w:rsid w:val="005B7147"/>
    <w:rsid w:val="005B72CB"/>
    <w:rsid w:val="005B76D0"/>
    <w:rsid w:val="005B7B7B"/>
    <w:rsid w:val="005C0A93"/>
    <w:rsid w:val="005C168B"/>
    <w:rsid w:val="005C1B97"/>
    <w:rsid w:val="005C2ED6"/>
    <w:rsid w:val="005C3D7C"/>
    <w:rsid w:val="005C5115"/>
    <w:rsid w:val="005C68E8"/>
    <w:rsid w:val="005C709A"/>
    <w:rsid w:val="005C7BB1"/>
    <w:rsid w:val="005D03B1"/>
    <w:rsid w:val="005D05CE"/>
    <w:rsid w:val="005D0E47"/>
    <w:rsid w:val="005D1612"/>
    <w:rsid w:val="005D2798"/>
    <w:rsid w:val="005D2860"/>
    <w:rsid w:val="005D3939"/>
    <w:rsid w:val="005D460D"/>
    <w:rsid w:val="005D5F90"/>
    <w:rsid w:val="005E09D1"/>
    <w:rsid w:val="005E2C48"/>
    <w:rsid w:val="005E3D5B"/>
    <w:rsid w:val="005E6DAE"/>
    <w:rsid w:val="005E76B6"/>
    <w:rsid w:val="005E77DC"/>
    <w:rsid w:val="005F073C"/>
    <w:rsid w:val="005F09CB"/>
    <w:rsid w:val="005F1497"/>
    <w:rsid w:val="005F2B39"/>
    <w:rsid w:val="005F2CFA"/>
    <w:rsid w:val="005F30B2"/>
    <w:rsid w:val="005F3965"/>
    <w:rsid w:val="005F488E"/>
    <w:rsid w:val="005F491D"/>
    <w:rsid w:val="005F4973"/>
    <w:rsid w:val="005F4F7A"/>
    <w:rsid w:val="005F514F"/>
    <w:rsid w:val="005F6E48"/>
    <w:rsid w:val="006017D7"/>
    <w:rsid w:val="00602516"/>
    <w:rsid w:val="006027C3"/>
    <w:rsid w:val="0060359F"/>
    <w:rsid w:val="00603A72"/>
    <w:rsid w:val="00603D77"/>
    <w:rsid w:val="00607377"/>
    <w:rsid w:val="006102D3"/>
    <w:rsid w:val="006103BD"/>
    <w:rsid w:val="006105A0"/>
    <w:rsid w:val="00610FF8"/>
    <w:rsid w:val="00611153"/>
    <w:rsid w:val="0061132F"/>
    <w:rsid w:val="00611C22"/>
    <w:rsid w:val="00612E0D"/>
    <w:rsid w:val="00613F7C"/>
    <w:rsid w:val="00614706"/>
    <w:rsid w:val="0061508F"/>
    <w:rsid w:val="00615451"/>
    <w:rsid w:val="00615565"/>
    <w:rsid w:val="006159E0"/>
    <w:rsid w:val="0061677C"/>
    <w:rsid w:val="00617807"/>
    <w:rsid w:val="00617A85"/>
    <w:rsid w:val="006209DB"/>
    <w:rsid w:val="00621AF5"/>
    <w:rsid w:val="006234AE"/>
    <w:rsid w:val="00624473"/>
    <w:rsid w:val="006257FB"/>
    <w:rsid w:val="00625F15"/>
    <w:rsid w:val="00626808"/>
    <w:rsid w:val="00627A00"/>
    <w:rsid w:val="00627D6B"/>
    <w:rsid w:val="00630583"/>
    <w:rsid w:val="00633065"/>
    <w:rsid w:val="00633426"/>
    <w:rsid w:val="006337A2"/>
    <w:rsid w:val="00633D0C"/>
    <w:rsid w:val="00636A1C"/>
    <w:rsid w:val="00641C47"/>
    <w:rsid w:val="006423F2"/>
    <w:rsid w:val="0064292A"/>
    <w:rsid w:val="00642D65"/>
    <w:rsid w:val="006433B5"/>
    <w:rsid w:val="00643BF5"/>
    <w:rsid w:val="00643D62"/>
    <w:rsid w:val="006445F1"/>
    <w:rsid w:val="006449AE"/>
    <w:rsid w:val="00646081"/>
    <w:rsid w:val="00646520"/>
    <w:rsid w:val="006470FE"/>
    <w:rsid w:val="00647523"/>
    <w:rsid w:val="006502B4"/>
    <w:rsid w:val="00650A71"/>
    <w:rsid w:val="00651444"/>
    <w:rsid w:val="00652846"/>
    <w:rsid w:val="00652C1C"/>
    <w:rsid w:val="006532E4"/>
    <w:rsid w:val="00653C99"/>
    <w:rsid w:val="00655591"/>
    <w:rsid w:val="006565F4"/>
    <w:rsid w:val="00656F9C"/>
    <w:rsid w:val="006570BC"/>
    <w:rsid w:val="00660A22"/>
    <w:rsid w:val="006612DF"/>
    <w:rsid w:val="00661FDA"/>
    <w:rsid w:val="00662506"/>
    <w:rsid w:val="0066299F"/>
    <w:rsid w:val="00662F0A"/>
    <w:rsid w:val="006639AD"/>
    <w:rsid w:val="00663EE2"/>
    <w:rsid w:val="006651F5"/>
    <w:rsid w:val="00665945"/>
    <w:rsid w:val="00665B80"/>
    <w:rsid w:val="0066681D"/>
    <w:rsid w:val="00666ABD"/>
    <w:rsid w:val="00667454"/>
    <w:rsid w:val="0066794B"/>
    <w:rsid w:val="0067019E"/>
    <w:rsid w:val="00670F36"/>
    <w:rsid w:val="00672B9B"/>
    <w:rsid w:val="00673D56"/>
    <w:rsid w:val="00674B70"/>
    <w:rsid w:val="00676321"/>
    <w:rsid w:val="00676839"/>
    <w:rsid w:val="00676E1F"/>
    <w:rsid w:val="00680488"/>
    <w:rsid w:val="006809AF"/>
    <w:rsid w:val="006812E6"/>
    <w:rsid w:val="00682051"/>
    <w:rsid w:val="00684014"/>
    <w:rsid w:val="006841FB"/>
    <w:rsid w:val="006842A9"/>
    <w:rsid w:val="00686EEF"/>
    <w:rsid w:val="00686FA1"/>
    <w:rsid w:val="0068771C"/>
    <w:rsid w:val="00687DD6"/>
    <w:rsid w:val="00692AD3"/>
    <w:rsid w:val="006947F5"/>
    <w:rsid w:val="006954A8"/>
    <w:rsid w:val="006959EA"/>
    <w:rsid w:val="00695B36"/>
    <w:rsid w:val="006964B5"/>
    <w:rsid w:val="006964C7"/>
    <w:rsid w:val="006976FD"/>
    <w:rsid w:val="00697A88"/>
    <w:rsid w:val="006A105D"/>
    <w:rsid w:val="006A458E"/>
    <w:rsid w:val="006A4D87"/>
    <w:rsid w:val="006A55DE"/>
    <w:rsid w:val="006A5C9D"/>
    <w:rsid w:val="006A6EC4"/>
    <w:rsid w:val="006A76E4"/>
    <w:rsid w:val="006B04B4"/>
    <w:rsid w:val="006B0E18"/>
    <w:rsid w:val="006B6F3E"/>
    <w:rsid w:val="006C16F3"/>
    <w:rsid w:val="006C2795"/>
    <w:rsid w:val="006C2E8A"/>
    <w:rsid w:val="006C376D"/>
    <w:rsid w:val="006C7FCF"/>
    <w:rsid w:val="006D00B6"/>
    <w:rsid w:val="006D013D"/>
    <w:rsid w:val="006D0AEA"/>
    <w:rsid w:val="006D0E28"/>
    <w:rsid w:val="006D13DF"/>
    <w:rsid w:val="006D15E0"/>
    <w:rsid w:val="006D22DF"/>
    <w:rsid w:val="006D2F1A"/>
    <w:rsid w:val="006D3B00"/>
    <w:rsid w:val="006D459C"/>
    <w:rsid w:val="006D4C51"/>
    <w:rsid w:val="006D4EF7"/>
    <w:rsid w:val="006D5056"/>
    <w:rsid w:val="006D59F4"/>
    <w:rsid w:val="006D605C"/>
    <w:rsid w:val="006D7DB2"/>
    <w:rsid w:val="006E11FF"/>
    <w:rsid w:val="006E1585"/>
    <w:rsid w:val="006E23FD"/>
    <w:rsid w:val="006E2B07"/>
    <w:rsid w:val="006E3070"/>
    <w:rsid w:val="006E5E12"/>
    <w:rsid w:val="006E6312"/>
    <w:rsid w:val="006E6D50"/>
    <w:rsid w:val="006E72CB"/>
    <w:rsid w:val="006F114F"/>
    <w:rsid w:val="006F22BB"/>
    <w:rsid w:val="006F3827"/>
    <w:rsid w:val="006F3A4D"/>
    <w:rsid w:val="006F3BE8"/>
    <w:rsid w:val="006F51E6"/>
    <w:rsid w:val="006F67EB"/>
    <w:rsid w:val="006F6CEC"/>
    <w:rsid w:val="0070045A"/>
    <w:rsid w:val="00700743"/>
    <w:rsid w:val="00701196"/>
    <w:rsid w:val="00701F55"/>
    <w:rsid w:val="007020CB"/>
    <w:rsid w:val="007028F4"/>
    <w:rsid w:val="00703266"/>
    <w:rsid w:val="007035E0"/>
    <w:rsid w:val="00703D4A"/>
    <w:rsid w:val="00703FBB"/>
    <w:rsid w:val="00703FCD"/>
    <w:rsid w:val="00705721"/>
    <w:rsid w:val="00705C98"/>
    <w:rsid w:val="00706EA0"/>
    <w:rsid w:val="00707269"/>
    <w:rsid w:val="00707B5C"/>
    <w:rsid w:val="00711162"/>
    <w:rsid w:val="0071264B"/>
    <w:rsid w:val="00713167"/>
    <w:rsid w:val="007138AE"/>
    <w:rsid w:val="007138CC"/>
    <w:rsid w:val="0071409A"/>
    <w:rsid w:val="00714CB0"/>
    <w:rsid w:val="0071500C"/>
    <w:rsid w:val="007154AA"/>
    <w:rsid w:val="00715696"/>
    <w:rsid w:val="00715F04"/>
    <w:rsid w:val="007166CB"/>
    <w:rsid w:val="00716EEB"/>
    <w:rsid w:val="00720ECF"/>
    <w:rsid w:val="00721484"/>
    <w:rsid w:val="00721F2C"/>
    <w:rsid w:val="00722EB4"/>
    <w:rsid w:val="00723BFC"/>
    <w:rsid w:val="007250A0"/>
    <w:rsid w:val="00725413"/>
    <w:rsid w:val="00725EAF"/>
    <w:rsid w:val="00726D0F"/>
    <w:rsid w:val="007271CB"/>
    <w:rsid w:val="00732399"/>
    <w:rsid w:val="0073256A"/>
    <w:rsid w:val="0073256B"/>
    <w:rsid w:val="0073300D"/>
    <w:rsid w:val="00734222"/>
    <w:rsid w:val="00735FE0"/>
    <w:rsid w:val="00736E45"/>
    <w:rsid w:val="00741385"/>
    <w:rsid w:val="0074274A"/>
    <w:rsid w:val="00743203"/>
    <w:rsid w:val="00743C9C"/>
    <w:rsid w:val="00743CE0"/>
    <w:rsid w:val="007446C2"/>
    <w:rsid w:val="0074533D"/>
    <w:rsid w:val="0074579C"/>
    <w:rsid w:val="00745A19"/>
    <w:rsid w:val="00745B7F"/>
    <w:rsid w:val="00745F27"/>
    <w:rsid w:val="007467E4"/>
    <w:rsid w:val="00747A2F"/>
    <w:rsid w:val="007505D7"/>
    <w:rsid w:val="0075215A"/>
    <w:rsid w:val="00752A91"/>
    <w:rsid w:val="007532EA"/>
    <w:rsid w:val="007540CA"/>
    <w:rsid w:val="0075420D"/>
    <w:rsid w:val="00755689"/>
    <w:rsid w:val="00755A82"/>
    <w:rsid w:val="00755ABD"/>
    <w:rsid w:val="007564E5"/>
    <w:rsid w:val="00756B01"/>
    <w:rsid w:val="00756B70"/>
    <w:rsid w:val="00757393"/>
    <w:rsid w:val="00760F2F"/>
    <w:rsid w:val="00762242"/>
    <w:rsid w:val="00762FEA"/>
    <w:rsid w:val="007636DB"/>
    <w:rsid w:val="0076431F"/>
    <w:rsid w:val="007646E1"/>
    <w:rsid w:val="00765020"/>
    <w:rsid w:val="00766674"/>
    <w:rsid w:val="00770433"/>
    <w:rsid w:val="00770847"/>
    <w:rsid w:val="007717F6"/>
    <w:rsid w:val="00771C56"/>
    <w:rsid w:val="00771FC3"/>
    <w:rsid w:val="007726C7"/>
    <w:rsid w:val="00773562"/>
    <w:rsid w:val="00774947"/>
    <w:rsid w:val="00774BCC"/>
    <w:rsid w:val="00775449"/>
    <w:rsid w:val="007802B3"/>
    <w:rsid w:val="007805C5"/>
    <w:rsid w:val="0078148C"/>
    <w:rsid w:val="0078158D"/>
    <w:rsid w:val="00781BC0"/>
    <w:rsid w:val="00782B3A"/>
    <w:rsid w:val="00783EAD"/>
    <w:rsid w:val="0078400E"/>
    <w:rsid w:val="007858FB"/>
    <w:rsid w:val="00785B05"/>
    <w:rsid w:val="007871BC"/>
    <w:rsid w:val="007874D5"/>
    <w:rsid w:val="0079002E"/>
    <w:rsid w:val="00790494"/>
    <w:rsid w:val="00791658"/>
    <w:rsid w:val="00796B07"/>
    <w:rsid w:val="007972AD"/>
    <w:rsid w:val="0079762E"/>
    <w:rsid w:val="00797907"/>
    <w:rsid w:val="007A0C4D"/>
    <w:rsid w:val="007A2358"/>
    <w:rsid w:val="007A38A3"/>
    <w:rsid w:val="007A5F84"/>
    <w:rsid w:val="007A6399"/>
    <w:rsid w:val="007A7C04"/>
    <w:rsid w:val="007B0C6E"/>
    <w:rsid w:val="007B1473"/>
    <w:rsid w:val="007B18EB"/>
    <w:rsid w:val="007B4A78"/>
    <w:rsid w:val="007B5AE9"/>
    <w:rsid w:val="007B640F"/>
    <w:rsid w:val="007B6559"/>
    <w:rsid w:val="007B7FB8"/>
    <w:rsid w:val="007C074A"/>
    <w:rsid w:val="007C0988"/>
    <w:rsid w:val="007C12E3"/>
    <w:rsid w:val="007C1721"/>
    <w:rsid w:val="007C22DD"/>
    <w:rsid w:val="007C26C6"/>
    <w:rsid w:val="007C4027"/>
    <w:rsid w:val="007C46C9"/>
    <w:rsid w:val="007C46D1"/>
    <w:rsid w:val="007C5B2E"/>
    <w:rsid w:val="007C5C96"/>
    <w:rsid w:val="007C5CE6"/>
    <w:rsid w:val="007C6863"/>
    <w:rsid w:val="007C7DCC"/>
    <w:rsid w:val="007D0D00"/>
    <w:rsid w:val="007D1A96"/>
    <w:rsid w:val="007D211C"/>
    <w:rsid w:val="007D21B3"/>
    <w:rsid w:val="007D2BF7"/>
    <w:rsid w:val="007D33E8"/>
    <w:rsid w:val="007D3415"/>
    <w:rsid w:val="007D38CE"/>
    <w:rsid w:val="007D4838"/>
    <w:rsid w:val="007D4FDA"/>
    <w:rsid w:val="007D535E"/>
    <w:rsid w:val="007D59AE"/>
    <w:rsid w:val="007D5B35"/>
    <w:rsid w:val="007D6179"/>
    <w:rsid w:val="007D65C4"/>
    <w:rsid w:val="007D6915"/>
    <w:rsid w:val="007D6BDD"/>
    <w:rsid w:val="007E0518"/>
    <w:rsid w:val="007E241C"/>
    <w:rsid w:val="007E3AD6"/>
    <w:rsid w:val="007E3BB4"/>
    <w:rsid w:val="007E42AC"/>
    <w:rsid w:val="007E4FD6"/>
    <w:rsid w:val="007E56E5"/>
    <w:rsid w:val="007E6532"/>
    <w:rsid w:val="007E6EDC"/>
    <w:rsid w:val="007E7D04"/>
    <w:rsid w:val="007F05DA"/>
    <w:rsid w:val="007F1152"/>
    <w:rsid w:val="007F19FD"/>
    <w:rsid w:val="007F3178"/>
    <w:rsid w:val="007F3F04"/>
    <w:rsid w:val="007F5AF5"/>
    <w:rsid w:val="007F62D4"/>
    <w:rsid w:val="007F6B7E"/>
    <w:rsid w:val="007F6FC3"/>
    <w:rsid w:val="007F7062"/>
    <w:rsid w:val="007F72B5"/>
    <w:rsid w:val="008003C8"/>
    <w:rsid w:val="0080064A"/>
    <w:rsid w:val="00800688"/>
    <w:rsid w:val="0080133D"/>
    <w:rsid w:val="0080157F"/>
    <w:rsid w:val="008016FB"/>
    <w:rsid w:val="008017CB"/>
    <w:rsid w:val="00801D2B"/>
    <w:rsid w:val="008022C9"/>
    <w:rsid w:val="00802E55"/>
    <w:rsid w:val="00802EAB"/>
    <w:rsid w:val="0080355F"/>
    <w:rsid w:val="00804CC9"/>
    <w:rsid w:val="00805FB2"/>
    <w:rsid w:val="00806BBA"/>
    <w:rsid w:val="008074FC"/>
    <w:rsid w:val="00807545"/>
    <w:rsid w:val="00811FA3"/>
    <w:rsid w:val="0081312C"/>
    <w:rsid w:val="0081391F"/>
    <w:rsid w:val="00813959"/>
    <w:rsid w:val="008146C8"/>
    <w:rsid w:val="00815096"/>
    <w:rsid w:val="00815129"/>
    <w:rsid w:val="008155A1"/>
    <w:rsid w:val="00815916"/>
    <w:rsid w:val="008169F3"/>
    <w:rsid w:val="00820EE7"/>
    <w:rsid w:val="00822047"/>
    <w:rsid w:val="00822BCD"/>
    <w:rsid w:val="00823A0B"/>
    <w:rsid w:val="00823B95"/>
    <w:rsid w:val="00824FE5"/>
    <w:rsid w:val="00825801"/>
    <w:rsid w:val="00825EBA"/>
    <w:rsid w:val="00826152"/>
    <w:rsid w:val="0082667E"/>
    <w:rsid w:val="00826882"/>
    <w:rsid w:val="00827C74"/>
    <w:rsid w:val="00827E46"/>
    <w:rsid w:val="0083242C"/>
    <w:rsid w:val="008331ED"/>
    <w:rsid w:val="00833E3E"/>
    <w:rsid w:val="008342F4"/>
    <w:rsid w:val="008370F0"/>
    <w:rsid w:val="008379C8"/>
    <w:rsid w:val="00837C60"/>
    <w:rsid w:val="0084068C"/>
    <w:rsid w:val="00840C29"/>
    <w:rsid w:val="00840CE0"/>
    <w:rsid w:val="008416B8"/>
    <w:rsid w:val="00844D09"/>
    <w:rsid w:val="00845094"/>
    <w:rsid w:val="00846C16"/>
    <w:rsid w:val="00847CF4"/>
    <w:rsid w:val="00850A6B"/>
    <w:rsid w:val="00850B67"/>
    <w:rsid w:val="00852490"/>
    <w:rsid w:val="00852677"/>
    <w:rsid w:val="00852DE4"/>
    <w:rsid w:val="00854779"/>
    <w:rsid w:val="00854EC6"/>
    <w:rsid w:val="00855A5A"/>
    <w:rsid w:val="00856A8F"/>
    <w:rsid w:val="0085730A"/>
    <w:rsid w:val="0085736E"/>
    <w:rsid w:val="008612A0"/>
    <w:rsid w:val="00862696"/>
    <w:rsid w:val="00862F79"/>
    <w:rsid w:val="008647EB"/>
    <w:rsid w:val="00865BE9"/>
    <w:rsid w:val="008704F8"/>
    <w:rsid w:val="00870932"/>
    <w:rsid w:val="00871E79"/>
    <w:rsid w:val="008720C0"/>
    <w:rsid w:val="00873122"/>
    <w:rsid w:val="008745D3"/>
    <w:rsid w:val="008758E9"/>
    <w:rsid w:val="008769A8"/>
    <w:rsid w:val="00876EC7"/>
    <w:rsid w:val="00877F57"/>
    <w:rsid w:val="0088061E"/>
    <w:rsid w:val="00880EBB"/>
    <w:rsid w:val="00880F48"/>
    <w:rsid w:val="00880FB3"/>
    <w:rsid w:val="008814ED"/>
    <w:rsid w:val="00881F76"/>
    <w:rsid w:val="00882408"/>
    <w:rsid w:val="008824A8"/>
    <w:rsid w:val="00882E9F"/>
    <w:rsid w:val="0088304B"/>
    <w:rsid w:val="00883181"/>
    <w:rsid w:val="00883756"/>
    <w:rsid w:val="00883CF3"/>
    <w:rsid w:val="00884C32"/>
    <w:rsid w:val="00885CD1"/>
    <w:rsid w:val="00887C9F"/>
    <w:rsid w:val="00890C04"/>
    <w:rsid w:val="00891036"/>
    <w:rsid w:val="008912EB"/>
    <w:rsid w:val="008915EB"/>
    <w:rsid w:val="00892105"/>
    <w:rsid w:val="008947F4"/>
    <w:rsid w:val="0089736B"/>
    <w:rsid w:val="00897418"/>
    <w:rsid w:val="008A0804"/>
    <w:rsid w:val="008A0CD3"/>
    <w:rsid w:val="008A0F76"/>
    <w:rsid w:val="008A1A7D"/>
    <w:rsid w:val="008A25C1"/>
    <w:rsid w:val="008A2D09"/>
    <w:rsid w:val="008A3861"/>
    <w:rsid w:val="008A52D4"/>
    <w:rsid w:val="008A78EA"/>
    <w:rsid w:val="008A7EAD"/>
    <w:rsid w:val="008B0CAF"/>
    <w:rsid w:val="008B110F"/>
    <w:rsid w:val="008B2BC2"/>
    <w:rsid w:val="008B48D8"/>
    <w:rsid w:val="008B5086"/>
    <w:rsid w:val="008B6C74"/>
    <w:rsid w:val="008B7950"/>
    <w:rsid w:val="008C02BF"/>
    <w:rsid w:val="008C04A0"/>
    <w:rsid w:val="008C074B"/>
    <w:rsid w:val="008C1C2C"/>
    <w:rsid w:val="008C26A9"/>
    <w:rsid w:val="008C2E5C"/>
    <w:rsid w:val="008C3A37"/>
    <w:rsid w:val="008C589A"/>
    <w:rsid w:val="008D0224"/>
    <w:rsid w:val="008D0822"/>
    <w:rsid w:val="008D084B"/>
    <w:rsid w:val="008D0878"/>
    <w:rsid w:val="008D1214"/>
    <w:rsid w:val="008D2043"/>
    <w:rsid w:val="008D320F"/>
    <w:rsid w:val="008D36E9"/>
    <w:rsid w:val="008D3A5E"/>
    <w:rsid w:val="008D3B53"/>
    <w:rsid w:val="008D468E"/>
    <w:rsid w:val="008D4C38"/>
    <w:rsid w:val="008D4CAE"/>
    <w:rsid w:val="008D585A"/>
    <w:rsid w:val="008E11C4"/>
    <w:rsid w:val="008E1A12"/>
    <w:rsid w:val="008E39B6"/>
    <w:rsid w:val="008E44C6"/>
    <w:rsid w:val="008E48AB"/>
    <w:rsid w:val="008E4957"/>
    <w:rsid w:val="008E5F5E"/>
    <w:rsid w:val="008E629C"/>
    <w:rsid w:val="008E684E"/>
    <w:rsid w:val="008E6E2E"/>
    <w:rsid w:val="008F1126"/>
    <w:rsid w:val="008F1B72"/>
    <w:rsid w:val="008F36DB"/>
    <w:rsid w:val="008F3A74"/>
    <w:rsid w:val="008F4D4B"/>
    <w:rsid w:val="008F5536"/>
    <w:rsid w:val="008F68D2"/>
    <w:rsid w:val="009006BA"/>
    <w:rsid w:val="00900E85"/>
    <w:rsid w:val="009019B2"/>
    <w:rsid w:val="00902D57"/>
    <w:rsid w:val="00903852"/>
    <w:rsid w:val="00904121"/>
    <w:rsid w:val="00904DCE"/>
    <w:rsid w:val="00905778"/>
    <w:rsid w:val="0090586A"/>
    <w:rsid w:val="00906C49"/>
    <w:rsid w:val="009073F7"/>
    <w:rsid w:val="0090761A"/>
    <w:rsid w:val="00910145"/>
    <w:rsid w:val="00911983"/>
    <w:rsid w:val="00911CA1"/>
    <w:rsid w:val="009137F9"/>
    <w:rsid w:val="009155CF"/>
    <w:rsid w:val="00917659"/>
    <w:rsid w:val="0091771E"/>
    <w:rsid w:val="00920686"/>
    <w:rsid w:val="00920DF9"/>
    <w:rsid w:val="00921F58"/>
    <w:rsid w:val="009220F7"/>
    <w:rsid w:val="0092235C"/>
    <w:rsid w:val="00923E69"/>
    <w:rsid w:val="009248D3"/>
    <w:rsid w:val="00924CA7"/>
    <w:rsid w:val="00925917"/>
    <w:rsid w:val="0092615E"/>
    <w:rsid w:val="009261F8"/>
    <w:rsid w:val="00927335"/>
    <w:rsid w:val="00930B8D"/>
    <w:rsid w:val="009310C1"/>
    <w:rsid w:val="00931FF9"/>
    <w:rsid w:val="00932E23"/>
    <w:rsid w:val="00933F91"/>
    <w:rsid w:val="009361E9"/>
    <w:rsid w:val="009369C4"/>
    <w:rsid w:val="00936A79"/>
    <w:rsid w:val="00940316"/>
    <w:rsid w:val="009410CB"/>
    <w:rsid w:val="0094150B"/>
    <w:rsid w:val="00941BDD"/>
    <w:rsid w:val="009426F7"/>
    <w:rsid w:val="00944CF8"/>
    <w:rsid w:val="00953708"/>
    <w:rsid w:val="00953B7B"/>
    <w:rsid w:val="00954D7D"/>
    <w:rsid w:val="00955C85"/>
    <w:rsid w:val="00955DB1"/>
    <w:rsid w:val="00957670"/>
    <w:rsid w:val="00957C6A"/>
    <w:rsid w:val="00960045"/>
    <w:rsid w:val="009602E4"/>
    <w:rsid w:val="00960B17"/>
    <w:rsid w:val="00960F8F"/>
    <w:rsid w:val="00961D6D"/>
    <w:rsid w:val="00962F02"/>
    <w:rsid w:val="00964C2F"/>
    <w:rsid w:val="00965618"/>
    <w:rsid w:val="00966EDA"/>
    <w:rsid w:val="00967530"/>
    <w:rsid w:val="0097045A"/>
    <w:rsid w:val="00971254"/>
    <w:rsid w:val="009721FC"/>
    <w:rsid w:val="0097263C"/>
    <w:rsid w:val="009737FD"/>
    <w:rsid w:val="00973923"/>
    <w:rsid w:val="00974155"/>
    <w:rsid w:val="009741CA"/>
    <w:rsid w:val="00975082"/>
    <w:rsid w:val="00975123"/>
    <w:rsid w:val="009752FF"/>
    <w:rsid w:val="00975387"/>
    <w:rsid w:val="00975A43"/>
    <w:rsid w:val="00982459"/>
    <w:rsid w:val="00983A6D"/>
    <w:rsid w:val="009842FA"/>
    <w:rsid w:val="00984645"/>
    <w:rsid w:val="00984B02"/>
    <w:rsid w:val="00985256"/>
    <w:rsid w:val="00985744"/>
    <w:rsid w:val="00985894"/>
    <w:rsid w:val="00985BFD"/>
    <w:rsid w:val="00986D21"/>
    <w:rsid w:val="009871D6"/>
    <w:rsid w:val="00987741"/>
    <w:rsid w:val="00987B95"/>
    <w:rsid w:val="009911A9"/>
    <w:rsid w:val="00991476"/>
    <w:rsid w:val="00992A31"/>
    <w:rsid w:val="009938F2"/>
    <w:rsid w:val="00994DE5"/>
    <w:rsid w:val="009958AB"/>
    <w:rsid w:val="009965F4"/>
    <w:rsid w:val="00996951"/>
    <w:rsid w:val="0099764F"/>
    <w:rsid w:val="00997B1A"/>
    <w:rsid w:val="009A0168"/>
    <w:rsid w:val="009A498F"/>
    <w:rsid w:val="009A61D0"/>
    <w:rsid w:val="009A6563"/>
    <w:rsid w:val="009A6AA5"/>
    <w:rsid w:val="009A6FD9"/>
    <w:rsid w:val="009A7E13"/>
    <w:rsid w:val="009B0C68"/>
    <w:rsid w:val="009B0C8B"/>
    <w:rsid w:val="009B0D86"/>
    <w:rsid w:val="009B1611"/>
    <w:rsid w:val="009B2BE7"/>
    <w:rsid w:val="009B303C"/>
    <w:rsid w:val="009B3451"/>
    <w:rsid w:val="009B3DFA"/>
    <w:rsid w:val="009B4732"/>
    <w:rsid w:val="009B4782"/>
    <w:rsid w:val="009B4B61"/>
    <w:rsid w:val="009B526B"/>
    <w:rsid w:val="009B61E3"/>
    <w:rsid w:val="009C0D5B"/>
    <w:rsid w:val="009C1544"/>
    <w:rsid w:val="009C22A2"/>
    <w:rsid w:val="009C57DB"/>
    <w:rsid w:val="009C690A"/>
    <w:rsid w:val="009C74B9"/>
    <w:rsid w:val="009D08E7"/>
    <w:rsid w:val="009D0FD5"/>
    <w:rsid w:val="009D1B8E"/>
    <w:rsid w:val="009D37EB"/>
    <w:rsid w:val="009D503D"/>
    <w:rsid w:val="009D5195"/>
    <w:rsid w:val="009D5408"/>
    <w:rsid w:val="009D6727"/>
    <w:rsid w:val="009E079F"/>
    <w:rsid w:val="009E324E"/>
    <w:rsid w:val="009E3A90"/>
    <w:rsid w:val="009E4865"/>
    <w:rsid w:val="009E53A6"/>
    <w:rsid w:val="009E53B8"/>
    <w:rsid w:val="009E6092"/>
    <w:rsid w:val="009E675C"/>
    <w:rsid w:val="009E68FE"/>
    <w:rsid w:val="009E7035"/>
    <w:rsid w:val="009E7803"/>
    <w:rsid w:val="009F3C45"/>
    <w:rsid w:val="009F45F0"/>
    <w:rsid w:val="009F48AF"/>
    <w:rsid w:val="009F4CE6"/>
    <w:rsid w:val="009F6C74"/>
    <w:rsid w:val="009F7D4A"/>
    <w:rsid w:val="00A00CD6"/>
    <w:rsid w:val="00A00DA5"/>
    <w:rsid w:val="00A01DA6"/>
    <w:rsid w:val="00A0270A"/>
    <w:rsid w:val="00A03E08"/>
    <w:rsid w:val="00A04694"/>
    <w:rsid w:val="00A05E9A"/>
    <w:rsid w:val="00A06B8F"/>
    <w:rsid w:val="00A06F1A"/>
    <w:rsid w:val="00A10181"/>
    <w:rsid w:val="00A1050F"/>
    <w:rsid w:val="00A1058B"/>
    <w:rsid w:val="00A10C5E"/>
    <w:rsid w:val="00A10F0A"/>
    <w:rsid w:val="00A121C4"/>
    <w:rsid w:val="00A123B3"/>
    <w:rsid w:val="00A14364"/>
    <w:rsid w:val="00A1461F"/>
    <w:rsid w:val="00A167B8"/>
    <w:rsid w:val="00A1685B"/>
    <w:rsid w:val="00A17CB8"/>
    <w:rsid w:val="00A20B0E"/>
    <w:rsid w:val="00A20CCA"/>
    <w:rsid w:val="00A20D13"/>
    <w:rsid w:val="00A20F88"/>
    <w:rsid w:val="00A21281"/>
    <w:rsid w:val="00A22264"/>
    <w:rsid w:val="00A24072"/>
    <w:rsid w:val="00A24A08"/>
    <w:rsid w:val="00A24BFB"/>
    <w:rsid w:val="00A25538"/>
    <w:rsid w:val="00A265AF"/>
    <w:rsid w:val="00A26A63"/>
    <w:rsid w:val="00A26D1E"/>
    <w:rsid w:val="00A27D67"/>
    <w:rsid w:val="00A307DF"/>
    <w:rsid w:val="00A30819"/>
    <w:rsid w:val="00A311E0"/>
    <w:rsid w:val="00A317B7"/>
    <w:rsid w:val="00A32460"/>
    <w:rsid w:val="00A32D92"/>
    <w:rsid w:val="00A3384C"/>
    <w:rsid w:val="00A357F1"/>
    <w:rsid w:val="00A35BDF"/>
    <w:rsid w:val="00A36081"/>
    <w:rsid w:val="00A363EE"/>
    <w:rsid w:val="00A36FC0"/>
    <w:rsid w:val="00A3735C"/>
    <w:rsid w:val="00A37740"/>
    <w:rsid w:val="00A40729"/>
    <w:rsid w:val="00A42644"/>
    <w:rsid w:val="00A457FA"/>
    <w:rsid w:val="00A462EA"/>
    <w:rsid w:val="00A50C25"/>
    <w:rsid w:val="00A513B2"/>
    <w:rsid w:val="00A52F5B"/>
    <w:rsid w:val="00A5439E"/>
    <w:rsid w:val="00A5549E"/>
    <w:rsid w:val="00A55C88"/>
    <w:rsid w:val="00A564C9"/>
    <w:rsid w:val="00A57267"/>
    <w:rsid w:val="00A5753D"/>
    <w:rsid w:val="00A5769E"/>
    <w:rsid w:val="00A5782B"/>
    <w:rsid w:val="00A57ECD"/>
    <w:rsid w:val="00A6013D"/>
    <w:rsid w:val="00A603FA"/>
    <w:rsid w:val="00A61C91"/>
    <w:rsid w:val="00A62DF4"/>
    <w:rsid w:val="00A63BF1"/>
    <w:rsid w:val="00A65A53"/>
    <w:rsid w:val="00A65E7C"/>
    <w:rsid w:val="00A702F0"/>
    <w:rsid w:val="00A70979"/>
    <w:rsid w:val="00A711A3"/>
    <w:rsid w:val="00A714E3"/>
    <w:rsid w:val="00A71566"/>
    <w:rsid w:val="00A739EC"/>
    <w:rsid w:val="00A747AD"/>
    <w:rsid w:val="00A75CE5"/>
    <w:rsid w:val="00A75F95"/>
    <w:rsid w:val="00A76E69"/>
    <w:rsid w:val="00A77817"/>
    <w:rsid w:val="00A81945"/>
    <w:rsid w:val="00A81DD6"/>
    <w:rsid w:val="00A82BFB"/>
    <w:rsid w:val="00A82E56"/>
    <w:rsid w:val="00A83759"/>
    <w:rsid w:val="00A851D8"/>
    <w:rsid w:val="00A854FC"/>
    <w:rsid w:val="00A861B3"/>
    <w:rsid w:val="00A8778E"/>
    <w:rsid w:val="00A87DA2"/>
    <w:rsid w:val="00A908DE"/>
    <w:rsid w:val="00A920EC"/>
    <w:rsid w:val="00A92937"/>
    <w:rsid w:val="00A95698"/>
    <w:rsid w:val="00A95A4C"/>
    <w:rsid w:val="00A95A7B"/>
    <w:rsid w:val="00A9686B"/>
    <w:rsid w:val="00A96F2C"/>
    <w:rsid w:val="00AA0B4B"/>
    <w:rsid w:val="00AA0BD6"/>
    <w:rsid w:val="00AA1D87"/>
    <w:rsid w:val="00AA1EF3"/>
    <w:rsid w:val="00AA212D"/>
    <w:rsid w:val="00AA4054"/>
    <w:rsid w:val="00AA4397"/>
    <w:rsid w:val="00AA4BF1"/>
    <w:rsid w:val="00AA6D85"/>
    <w:rsid w:val="00AA7003"/>
    <w:rsid w:val="00AA7BF3"/>
    <w:rsid w:val="00AB20F4"/>
    <w:rsid w:val="00AB31DD"/>
    <w:rsid w:val="00AB338A"/>
    <w:rsid w:val="00AB3AAD"/>
    <w:rsid w:val="00AB44A6"/>
    <w:rsid w:val="00AB473E"/>
    <w:rsid w:val="00AB6F5E"/>
    <w:rsid w:val="00AB7261"/>
    <w:rsid w:val="00AB7A59"/>
    <w:rsid w:val="00AC1E98"/>
    <w:rsid w:val="00AC43BC"/>
    <w:rsid w:val="00AC4620"/>
    <w:rsid w:val="00AC4F67"/>
    <w:rsid w:val="00AC5BD9"/>
    <w:rsid w:val="00AC67CE"/>
    <w:rsid w:val="00AD1703"/>
    <w:rsid w:val="00AD1E9F"/>
    <w:rsid w:val="00AD27C1"/>
    <w:rsid w:val="00AD5FE4"/>
    <w:rsid w:val="00AD69F1"/>
    <w:rsid w:val="00AD6F21"/>
    <w:rsid w:val="00AD7C3B"/>
    <w:rsid w:val="00AE1CB0"/>
    <w:rsid w:val="00AE2345"/>
    <w:rsid w:val="00AE3A20"/>
    <w:rsid w:val="00AE4383"/>
    <w:rsid w:val="00AE4D70"/>
    <w:rsid w:val="00AE4F84"/>
    <w:rsid w:val="00AE50DC"/>
    <w:rsid w:val="00AE597A"/>
    <w:rsid w:val="00AE71BE"/>
    <w:rsid w:val="00AE723E"/>
    <w:rsid w:val="00AF34A5"/>
    <w:rsid w:val="00AF3657"/>
    <w:rsid w:val="00AF443B"/>
    <w:rsid w:val="00AF44C1"/>
    <w:rsid w:val="00AF4A97"/>
    <w:rsid w:val="00AF4BD3"/>
    <w:rsid w:val="00AF5AC3"/>
    <w:rsid w:val="00AF68EA"/>
    <w:rsid w:val="00AF741C"/>
    <w:rsid w:val="00B012AF"/>
    <w:rsid w:val="00B01365"/>
    <w:rsid w:val="00B01E35"/>
    <w:rsid w:val="00B02A43"/>
    <w:rsid w:val="00B0363D"/>
    <w:rsid w:val="00B05F0C"/>
    <w:rsid w:val="00B0651D"/>
    <w:rsid w:val="00B069FA"/>
    <w:rsid w:val="00B06D31"/>
    <w:rsid w:val="00B0796E"/>
    <w:rsid w:val="00B1063A"/>
    <w:rsid w:val="00B10E88"/>
    <w:rsid w:val="00B11232"/>
    <w:rsid w:val="00B11BBD"/>
    <w:rsid w:val="00B11CFA"/>
    <w:rsid w:val="00B12542"/>
    <w:rsid w:val="00B12E54"/>
    <w:rsid w:val="00B13A00"/>
    <w:rsid w:val="00B2034C"/>
    <w:rsid w:val="00B20A16"/>
    <w:rsid w:val="00B23F9C"/>
    <w:rsid w:val="00B24595"/>
    <w:rsid w:val="00B24E4C"/>
    <w:rsid w:val="00B25805"/>
    <w:rsid w:val="00B258FF"/>
    <w:rsid w:val="00B26490"/>
    <w:rsid w:val="00B26784"/>
    <w:rsid w:val="00B26DE3"/>
    <w:rsid w:val="00B31254"/>
    <w:rsid w:val="00B32DAD"/>
    <w:rsid w:val="00B342B2"/>
    <w:rsid w:val="00B34408"/>
    <w:rsid w:val="00B3479B"/>
    <w:rsid w:val="00B34890"/>
    <w:rsid w:val="00B355BC"/>
    <w:rsid w:val="00B36AF4"/>
    <w:rsid w:val="00B40F82"/>
    <w:rsid w:val="00B41A8E"/>
    <w:rsid w:val="00B423DD"/>
    <w:rsid w:val="00B42741"/>
    <w:rsid w:val="00B42E5F"/>
    <w:rsid w:val="00B435B5"/>
    <w:rsid w:val="00B43A8C"/>
    <w:rsid w:val="00B44174"/>
    <w:rsid w:val="00B44B18"/>
    <w:rsid w:val="00B44F86"/>
    <w:rsid w:val="00B44F91"/>
    <w:rsid w:val="00B45AA2"/>
    <w:rsid w:val="00B46717"/>
    <w:rsid w:val="00B46AEB"/>
    <w:rsid w:val="00B47379"/>
    <w:rsid w:val="00B477C6"/>
    <w:rsid w:val="00B50689"/>
    <w:rsid w:val="00B510F6"/>
    <w:rsid w:val="00B525C1"/>
    <w:rsid w:val="00B526B4"/>
    <w:rsid w:val="00B531E8"/>
    <w:rsid w:val="00B53887"/>
    <w:rsid w:val="00B564B1"/>
    <w:rsid w:val="00B564B6"/>
    <w:rsid w:val="00B57085"/>
    <w:rsid w:val="00B57126"/>
    <w:rsid w:val="00B60332"/>
    <w:rsid w:val="00B60618"/>
    <w:rsid w:val="00B612DC"/>
    <w:rsid w:val="00B627F5"/>
    <w:rsid w:val="00B651B9"/>
    <w:rsid w:val="00B66847"/>
    <w:rsid w:val="00B66950"/>
    <w:rsid w:val="00B70197"/>
    <w:rsid w:val="00B705E1"/>
    <w:rsid w:val="00B7094D"/>
    <w:rsid w:val="00B70E4B"/>
    <w:rsid w:val="00B713B6"/>
    <w:rsid w:val="00B71A98"/>
    <w:rsid w:val="00B71E10"/>
    <w:rsid w:val="00B72254"/>
    <w:rsid w:val="00B7473C"/>
    <w:rsid w:val="00B76564"/>
    <w:rsid w:val="00B77508"/>
    <w:rsid w:val="00B801E5"/>
    <w:rsid w:val="00B80B33"/>
    <w:rsid w:val="00B82BFE"/>
    <w:rsid w:val="00B82C76"/>
    <w:rsid w:val="00B82DFA"/>
    <w:rsid w:val="00B83B73"/>
    <w:rsid w:val="00B83E4F"/>
    <w:rsid w:val="00B843D7"/>
    <w:rsid w:val="00B8440F"/>
    <w:rsid w:val="00B84675"/>
    <w:rsid w:val="00B84C35"/>
    <w:rsid w:val="00B86492"/>
    <w:rsid w:val="00B867A0"/>
    <w:rsid w:val="00B86825"/>
    <w:rsid w:val="00B86BD3"/>
    <w:rsid w:val="00B908DA"/>
    <w:rsid w:val="00B91817"/>
    <w:rsid w:val="00B91DA4"/>
    <w:rsid w:val="00B941E1"/>
    <w:rsid w:val="00B95568"/>
    <w:rsid w:val="00B955C6"/>
    <w:rsid w:val="00B971AD"/>
    <w:rsid w:val="00B97A01"/>
    <w:rsid w:val="00BA0223"/>
    <w:rsid w:val="00BA139E"/>
    <w:rsid w:val="00BA175C"/>
    <w:rsid w:val="00BA18FC"/>
    <w:rsid w:val="00BA4198"/>
    <w:rsid w:val="00BA4BF6"/>
    <w:rsid w:val="00BA5621"/>
    <w:rsid w:val="00BA684F"/>
    <w:rsid w:val="00BA6AF7"/>
    <w:rsid w:val="00BA7ABA"/>
    <w:rsid w:val="00BB0FE8"/>
    <w:rsid w:val="00BB11CB"/>
    <w:rsid w:val="00BB221E"/>
    <w:rsid w:val="00BB22C4"/>
    <w:rsid w:val="00BB278D"/>
    <w:rsid w:val="00BB2871"/>
    <w:rsid w:val="00BB327B"/>
    <w:rsid w:val="00BB3C24"/>
    <w:rsid w:val="00BB5B6B"/>
    <w:rsid w:val="00BB5D8E"/>
    <w:rsid w:val="00BB6685"/>
    <w:rsid w:val="00BB6763"/>
    <w:rsid w:val="00BB680C"/>
    <w:rsid w:val="00BC0029"/>
    <w:rsid w:val="00BC010F"/>
    <w:rsid w:val="00BC31BA"/>
    <w:rsid w:val="00BC3836"/>
    <w:rsid w:val="00BC4E5F"/>
    <w:rsid w:val="00BC5241"/>
    <w:rsid w:val="00BC587A"/>
    <w:rsid w:val="00BC5C6A"/>
    <w:rsid w:val="00BC6B71"/>
    <w:rsid w:val="00BC7DAA"/>
    <w:rsid w:val="00BD1CEC"/>
    <w:rsid w:val="00BD2203"/>
    <w:rsid w:val="00BD3926"/>
    <w:rsid w:val="00BD3D7A"/>
    <w:rsid w:val="00BD40DB"/>
    <w:rsid w:val="00BD47D4"/>
    <w:rsid w:val="00BD4C9E"/>
    <w:rsid w:val="00BD56A8"/>
    <w:rsid w:val="00BD6508"/>
    <w:rsid w:val="00BE0033"/>
    <w:rsid w:val="00BE05EE"/>
    <w:rsid w:val="00BE0D9A"/>
    <w:rsid w:val="00BE406C"/>
    <w:rsid w:val="00BE5A76"/>
    <w:rsid w:val="00BE64B8"/>
    <w:rsid w:val="00BE6646"/>
    <w:rsid w:val="00BE67F2"/>
    <w:rsid w:val="00BE69E3"/>
    <w:rsid w:val="00BE6D3A"/>
    <w:rsid w:val="00BE7F0F"/>
    <w:rsid w:val="00BF1BD2"/>
    <w:rsid w:val="00BF202D"/>
    <w:rsid w:val="00BF2EAA"/>
    <w:rsid w:val="00BF4F9D"/>
    <w:rsid w:val="00BF56CA"/>
    <w:rsid w:val="00BF59E0"/>
    <w:rsid w:val="00BF5A70"/>
    <w:rsid w:val="00BF63C1"/>
    <w:rsid w:val="00BF66D0"/>
    <w:rsid w:val="00BF68C9"/>
    <w:rsid w:val="00C009D3"/>
    <w:rsid w:val="00C01D05"/>
    <w:rsid w:val="00C02200"/>
    <w:rsid w:val="00C0387F"/>
    <w:rsid w:val="00C05025"/>
    <w:rsid w:val="00C055AD"/>
    <w:rsid w:val="00C07CF4"/>
    <w:rsid w:val="00C1027D"/>
    <w:rsid w:val="00C10544"/>
    <w:rsid w:val="00C11562"/>
    <w:rsid w:val="00C121C7"/>
    <w:rsid w:val="00C12520"/>
    <w:rsid w:val="00C13A4D"/>
    <w:rsid w:val="00C13CE0"/>
    <w:rsid w:val="00C13CFC"/>
    <w:rsid w:val="00C14455"/>
    <w:rsid w:val="00C15AE1"/>
    <w:rsid w:val="00C1683E"/>
    <w:rsid w:val="00C17B8A"/>
    <w:rsid w:val="00C2039A"/>
    <w:rsid w:val="00C21A50"/>
    <w:rsid w:val="00C221A1"/>
    <w:rsid w:val="00C22363"/>
    <w:rsid w:val="00C22C9C"/>
    <w:rsid w:val="00C22F7D"/>
    <w:rsid w:val="00C23AFC"/>
    <w:rsid w:val="00C23DA4"/>
    <w:rsid w:val="00C241F4"/>
    <w:rsid w:val="00C25423"/>
    <w:rsid w:val="00C25557"/>
    <w:rsid w:val="00C25FEB"/>
    <w:rsid w:val="00C275A1"/>
    <w:rsid w:val="00C279CB"/>
    <w:rsid w:val="00C3009A"/>
    <w:rsid w:val="00C30350"/>
    <w:rsid w:val="00C313DE"/>
    <w:rsid w:val="00C322A1"/>
    <w:rsid w:val="00C33093"/>
    <w:rsid w:val="00C332FE"/>
    <w:rsid w:val="00C335D4"/>
    <w:rsid w:val="00C34BFD"/>
    <w:rsid w:val="00C35528"/>
    <w:rsid w:val="00C36D4A"/>
    <w:rsid w:val="00C37576"/>
    <w:rsid w:val="00C403CD"/>
    <w:rsid w:val="00C40C6B"/>
    <w:rsid w:val="00C417D0"/>
    <w:rsid w:val="00C41927"/>
    <w:rsid w:val="00C428F3"/>
    <w:rsid w:val="00C42950"/>
    <w:rsid w:val="00C442AE"/>
    <w:rsid w:val="00C451C1"/>
    <w:rsid w:val="00C4578D"/>
    <w:rsid w:val="00C472A2"/>
    <w:rsid w:val="00C47494"/>
    <w:rsid w:val="00C50256"/>
    <w:rsid w:val="00C50998"/>
    <w:rsid w:val="00C50B27"/>
    <w:rsid w:val="00C5151B"/>
    <w:rsid w:val="00C51605"/>
    <w:rsid w:val="00C5342F"/>
    <w:rsid w:val="00C54124"/>
    <w:rsid w:val="00C541E5"/>
    <w:rsid w:val="00C5420E"/>
    <w:rsid w:val="00C551F6"/>
    <w:rsid w:val="00C55671"/>
    <w:rsid w:val="00C55D9F"/>
    <w:rsid w:val="00C57651"/>
    <w:rsid w:val="00C603C3"/>
    <w:rsid w:val="00C604F0"/>
    <w:rsid w:val="00C6181E"/>
    <w:rsid w:val="00C61F66"/>
    <w:rsid w:val="00C62A9B"/>
    <w:rsid w:val="00C63409"/>
    <w:rsid w:val="00C64463"/>
    <w:rsid w:val="00C64532"/>
    <w:rsid w:val="00C64984"/>
    <w:rsid w:val="00C65CC0"/>
    <w:rsid w:val="00C65FC9"/>
    <w:rsid w:val="00C67650"/>
    <w:rsid w:val="00C7196E"/>
    <w:rsid w:val="00C732BA"/>
    <w:rsid w:val="00C73E7A"/>
    <w:rsid w:val="00C741BA"/>
    <w:rsid w:val="00C750F7"/>
    <w:rsid w:val="00C75948"/>
    <w:rsid w:val="00C75F9A"/>
    <w:rsid w:val="00C76679"/>
    <w:rsid w:val="00C76BB7"/>
    <w:rsid w:val="00C76D48"/>
    <w:rsid w:val="00C774C7"/>
    <w:rsid w:val="00C83F9F"/>
    <w:rsid w:val="00C843F5"/>
    <w:rsid w:val="00C850C0"/>
    <w:rsid w:val="00C85590"/>
    <w:rsid w:val="00C85D7C"/>
    <w:rsid w:val="00C87B26"/>
    <w:rsid w:val="00C91BA6"/>
    <w:rsid w:val="00C95438"/>
    <w:rsid w:val="00C95787"/>
    <w:rsid w:val="00C975D0"/>
    <w:rsid w:val="00CA19F5"/>
    <w:rsid w:val="00CA3B94"/>
    <w:rsid w:val="00CA3F65"/>
    <w:rsid w:val="00CA3FC1"/>
    <w:rsid w:val="00CA52D0"/>
    <w:rsid w:val="00CA59AA"/>
    <w:rsid w:val="00CA5C74"/>
    <w:rsid w:val="00CA772A"/>
    <w:rsid w:val="00CA7EBD"/>
    <w:rsid w:val="00CB13E6"/>
    <w:rsid w:val="00CB3671"/>
    <w:rsid w:val="00CB494B"/>
    <w:rsid w:val="00CB4C94"/>
    <w:rsid w:val="00CB4C99"/>
    <w:rsid w:val="00CB53F5"/>
    <w:rsid w:val="00CB6467"/>
    <w:rsid w:val="00CB6492"/>
    <w:rsid w:val="00CB6969"/>
    <w:rsid w:val="00CB6EEB"/>
    <w:rsid w:val="00CB79A5"/>
    <w:rsid w:val="00CC22BE"/>
    <w:rsid w:val="00CC27DF"/>
    <w:rsid w:val="00CC2E19"/>
    <w:rsid w:val="00CC3603"/>
    <w:rsid w:val="00CC391C"/>
    <w:rsid w:val="00CC45F3"/>
    <w:rsid w:val="00CC7666"/>
    <w:rsid w:val="00CD1A4B"/>
    <w:rsid w:val="00CD3B9A"/>
    <w:rsid w:val="00CD49EE"/>
    <w:rsid w:val="00CD52B9"/>
    <w:rsid w:val="00CD5A87"/>
    <w:rsid w:val="00CD6048"/>
    <w:rsid w:val="00CD61D8"/>
    <w:rsid w:val="00CD6626"/>
    <w:rsid w:val="00CD6E02"/>
    <w:rsid w:val="00CD7193"/>
    <w:rsid w:val="00CE16ED"/>
    <w:rsid w:val="00CE1A04"/>
    <w:rsid w:val="00CE2905"/>
    <w:rsid w:val="00CE37FA"/>
    <w:rsid w:val="00CE3F96"/>
    <w:rsid w:val="00CE41F9"/>
    <w:rsid w:val="00CE50BA"/>
    <w:rsid w:val="00CE6970"/>
    <w:rsid w:val="00CE6EF2"/>
    <w:rsid w:val="00CE71A3"/>
    <w:rsid w:val="00CE7ABA"/>
    <w:rsid w:val="00CE7EAD"/>
    <w:rsid w:val="00CF0740"/>
    <w:rsid w:val="00CF1D67"/>
    <w:rsid w:val="00CF37D7"/>
    <w:rsid w:val="00CF7AB1"/>
    <w:rsid w:val="00CF7E3D"/>
    <w:rsid w:val="00D00EFA"/>
    <w:rsid w:val="00D0108D"/>
    <w:rsid w:val="00D01DC2"/>
    <w:rsid w:val="00D03766"/>
    <w:rsid w:val="00D03E8E"/>
    <w:rsid w:val="00D0423A"/>
    <w:rsid w:val="00D04BD6"/>
    <w:rsid w:val="00D05558"/>
    <w:rsid w:val="00D058EC"/>
    <w:rsid w:val="00D05E71"/>
    <w:rsid w:val="00D071AE"/>
    <w:rsid w:val="00D10ABC"/>
    <w:rsid w:val="00D11298"/>
    <w:rsid w:val="00D11350"/>
    <w:rsid w:val="00D11758"/>
    <w:rsid w:val="00D11A1A"/>
    <w:rsid w:val="00D1222B"/>
    <w:rsid w:val="00D12BA5"/>
    <w:rsid w:val="00D12E2E"/>
    <w:rsid w:val="00D12E46"/>
    <w:rsid w:val="00D14370"/>
    <w:rsid w:val="00D145CF"/>
    <w:rsid w:val="00D14F1D"/>
    <w:rsid w:val="00D200A8"/>
    <w:rsid w:val="00D201DD"/>
    <w:rsid w:val="00D20492"/>
    <w:rsid w:val="00D207FC"/>
    <w:rsid w:val="00D21082"/>
    <w:rsid w:val="00D218EA"/>
    <w:rsid w:val="00D2238A"/>
    <w:rsid w:val="00D255CA"/>
    <w:rsid w:val="00D26192"/>
    <w:rsid w:val="00D262C4"/>
    <w:rsid w:val="00D264C0"/>
    <w:rsid w:val="00D26D30"/>
    <w:rsid w:val="00D30C93"/>
    <w:rsid w:val="00D315B5"/>
    <w:rsid w:val="00D329D5"/>
    <w:rsid w:val="00D32DFB"/>
    <w:rsid w:val="00D3387A"/>
    <w:rsid w:val="00D339EE"/>
    <w:rsid w:val="00D33BD9"/>
    <w:rsid w:val="00D3440A"/>
    <w:rsid w:val="00D352B6"/>
    <w:rsid w:val="00D3571B"/>
    <w:rsid w:val="00D35DEF"/>
    <w:rsid w:val="00D41FFD"/>
    <w:rsid w:val="00D4350C"/>
    <w:rsid w:val="00D44692"/>
    <w:rsid w:val="00D447F6"/>
    <w:rsid w:val="00D44CF6"/>
    <w:rsid w:val="00D4502C"/>
    <w:rsid w:val="00D45608"/>
    <w:rsid w:val="00D45F19"/>
    <w:rsid w:val="00D4795F"/>
    <w:rsid w:val="00D47B78"/>
    <w:rsid w:val="00D50380"/>
    <w:rsid w:val="00D50BC4"/>
    <w:rsid w:val="00D52A4A"/>
    <w:rsid w:val="00D537ED"/>
    <w:rsid w:val="00D539B5"/>
    <w:rsid w:val="00D55140"/>
    <w:rsid w:val="00D6086C"/>
    <w:rsid w:val="00D614A7"/>
    <w:rsid w:val="00D617D9"/>
    <w:rsid w:val="00D61912"/>
    <w:rsid w:val="00D61BC0"/>
    <w:rsid w:val="00D64817"/>
    <w:rsid w:val="00D65C95"/>
    <w:rsid w:val="00D65F88"/>
    <w:rsid w:val="00D66AF2"/>
    <w:rsid w:val="00D66B61"/>
    <w:rsid w:val="00D67195"/>
    <w:rsid w:val="00D70284"/>
    <w:rsid w:val="00D70D63"/>
    <w:rsid w:val="00D719C6"/>
    <w:rsid w:val="00D72F3F"/>
    <w:rsid w:val="00D7340F"/>
    <w:rsid w:val="00D75599"/>
    <w:rsid w:val="00D762E8"/>
    <w:rsid w:val="00D80559"/>
    <w:rsid w:val="00D824E7"/>
    <w:rsid w:val="00D82D82"/>
    <w:rsid w:val="00D83F0A"/>
    <w:rsid w:val="00D8505F"/>
    <w:rsid w:val="00D85502"/>
    <w:rsid w:val="00D8554F"/>
    <w:rsid w:val="00D85E50"/>
    <w:rsid w:val="00D863E0"/>
    <w:rsid w:val="00D866E0"/>
    <w:rsid w:val="00D8671C"/>
    <w:rsid w:val="00D867B1"/>
    <w:rsid w:val="00D86CB2"/>
    <w:rsid w:val="00D86F4E"/>
    <w:rsid w:val="00D875F9"/>
    <w:rsid w:val="00D901B8"/>
    <w:rsid w:val="00D91433"/>
    <w:rsid w:val="00D920E1"/>
    <w:rsid w:val="00D92297"/>
    <w:rsid w:val="00D92B2F"/>
    <w:rsid w:val="00D92E61"/>
    <w:rsid w:val="00D93340"/>
    <w:rsid w:val="00D939F2"/>
    <w:rsid w:val="00D943E2"/>
    <w:rsid w:val="00D943F2"/>
    <w:rsid w:val="00D94448"/>
    <w:rsid w:val="00D95D26"/>
    <w:rsid w:val="00D96EA9"/>
    <w:rsid w:val="00D9715E"/>
    <w:rsid w:val="00DA03AE"/>
    <w:rsid w:val="00DA1207"/>
    <w:rsid w:val="00DA17FD"/>
    <w:rsid w:val="00DA1ACD"/>
    <w:rsid w:val="00DA24A5"/>
    <w:rsid w:val="00DA2E1A"/>
    <w:rsid w:val="00DA3891"/>
    <w:rsid w:val="00DA3D1A"/>
    <w:rsid w:val="00DA3F96"/>
    <w:rsid w:val="00DA4115"/>
    <w:rsid w:val="00DA51AB"/>
    <w:rsid w:val="00DA540F"/>
    <w:rsid w:val="00DA54C5"/>
    <w:rsid w:val="00DA6C9B"/>
    <w:rsid w:val="00DB052A"/>
    <w:rsid w:val="00DB09C5"/>
    <w:rsid w:val="00DB2527"/>
    <w:rsid w:val="00DB2B0A"/>
    <w:rsid w:val="00DB5A19"/>
    <w:rsid w:val="00DC08AD"/>
    <w:rsid w:val="00DC1519"/>
    <w:rsid w:val="00DC46B3"/>
    <w:rsid w:val="00DC46F6"/>
    <w:rsid w:val="00DC60C5"/>
    <w:rsid w:val="00DC7989"/>
    <w:rsid w:val="00DC7F4B"/>
    <w:rsid w:val="00DD024A"/>
    <w:rsid w:val="00DD14FB"/>
    <w:rsid w:val="00DD2667"/>
    <w:rsid w:val="00DD2FAA"/>
    <w:rsid w:val="00DD413B"/>
    <w:rsid w:val="00DD5720"/>
    <w:rsid w:val="00DD60C3"/>
    <w:rsid w:val="00DD6282"/>
    <w:rsid w:val="00DD679A"/>
    <w:rsid w:val="00DE00DF"/>
    <w:rsid w:val="00DE18C2"/>
    <w:rsid w:val="00DE2E28"/>
    <w:rsid w:val="00DE5974"/>
    <w:rsid w:val="00DE5F8D"/>
    <w:rsid w:val="00DE6C75"/>
    <w:rsid w:val="00DF0587"/>
    <w:rsid w:val="00DF0679"/>
    <w:rsid w:val="00DF1A4A"/>
    <w:rsid w:val="00DF28E3"/>
    <w:rsid w:val="00DF32B7"/>
    <w:rsid w:val="00DF3320"/>
    <w:rsid w:val="00DF4741"/>
    <w:rsid w:val="00DF5FD9"/>
    <w:rsid w:val="00DF60AA"/>
    <w:rsid w:val="00DF7DD5"/>
    <w:rsid w:val="00E00018"/>
    <w:rsid w:val="00E01327"/>
    <w:rsid w:val="00E026BB"/>
    <w:rsid w:val="00E06C18"/>
    <w:rsid w:val="00E10C21"/>
    <w:rsid w:val="00E1133C"/>
    <w:rsid w:val="00E118C6"/>
    <w:rsid w:val="00E12435"/>
    <w:rsid w:val="00E1326E"/>
    <w:rsid w:val="00E13A36"/>
    <w:rsid w:val="00E140DA"/>
    <w:rsid w:val="00E14F72"/>
    <w:rsid w:val="00E15348"/>
    <w:rsid w:val="00E16C8B"/>
    <w:rsid w:val="00E16F9D"/>
    <w:rsid w:val="00E21080"/>
    <w:rsid w:val="00E22B2A"/>
    <w:rsid w:val="00E22DA1"/>
    <w:rsid w:val="00E23D35"/>
    <w:rsid w:val="00E25F32"/>
    <w:rsid w:val="00E2617D"/>
    <w:rsid w:val="00E27BEC"/>
    <w:rsid w:val="00E30BCB"/>
    <w:rsid w:val="00E3423E"/>
    <w:rsid w:val="00E3539C"/>
    <w:rsid w:val="00E3543A"/>
    <w:rsid w:val="00E35B5D"/>
    <w:rsid w:val="00E363C9"/>
    <w:rsid w:val="00E364A7"/>
    <w:rsid w:val="00E36B3F"/>
    <w:rsid w:val="00E373C3"/>
    <w:rsid w:val="00E37CE0"/>
    <w:rsid w:val="00E402F5"/>
    <w:rsid w:val="00E41970"/>
    <w:rsid w:val="00E4198A"/>
    <w:rsid w:val="00E42848"/>
    <w:rsid w:val="00E43BBB"/>
    <w:rsid w:val="00E44B0C"/>
    <w:rsid w:val="00E44D3F"/>
    <w:rsid w:val="00E46E6B"/>
    <w:rsid w:val="00E50D07"/>
    <w:rsid w:val="00E50E13"/>
    <w:rsid w:val="00E5280E"/>
    <w:rsid w:val="00E53713"/>
    <w:rsid w:val="00E541B4"/>
    <w:rsid w:val="00E56CA4"/>
    <w:rsid w:val="00E57AC5"/>
    <w:rsid w:val="00E57EBE"/>
    <w:rsid w:val="00E60E28"/>
    <w:rsid w:val="00E62215"/>
    <w:rsid w:val="00E64378"/>
    <w:rsid w:val="00E65A3B"/>
    <w:rsid w:val="00E6688D"/>
    <w:rsid w:val="00E66B38"/>
    <w:rsid w:val="00E70C0D"/>
    <w:rsid w:val="00E717C9"/>
    <w:rsid w:val="00E74D33"/>
    <w:rsid w:val="00E752FC"/>
    <w:rsid w:val="00E75809"/>
    <w:rsid w:val="00E76A82"/>
    <w:rsid w:val="00E77066"/>
    <w:rsid w:val="00E770E2"/>
    <w:rsid w:val="00E80B6C"/>
    <w:rsid w:val="00E80C0D"/>
    <w:rsid w:val="00E81192"/>
    <w:rsid w:val="00E828F8"/>
    <w:rsid w:val="00E82E49"/>
    <w:rsid w:val="00E85017"/>
    <w:rsid w:val="00E85182"/>
    <w:rsid w:val="00E859C6"/>
    <w:rsid w:val="00E86743"/>
    <w:rsid w:val="00E86FE6"/>
    <w:rsid w:val="00E87ACF"/>
    <w:rsid w:val="00E87DF1"/>
    <w:rsid w:val="00E901CB"/>
    <w:rsid w:val="00E90648"/>
    <w:rsid w:val="00E9160B"/>
    <w:rsid w:val="00E91BC1"/>
    <w:rsid w:val="00E920E0"/>
    <w:rsid w:val="00E93C1A"/>
    <w:rsid w:val="00E93CC1"/>
    <w:rsid w:val="00E941C6"/>
    <w:rsid w:val="00E946F4"/>
    <w:rsid w:val="00E94CBD"/>
    <w:rsid w:val="00E96610"/>
    <w:rsid w:val="00EA18F9"/>
    <w:rsid w:val="00EA1928"/>
    <w:rsid w:val="00EA1C06"/>
    <w:rsid w:val="00EA1E82"/>
    <w:rsid w:val="00EA1F1A"/>
    <w:rsid w:val="00EA3D0E"/>
    <w:rsid w:val="00EA3D19"/>
    <w:rsid w:val="00EA422A"/>
    <w:rsid w:val="00EA42E6"/>
    <w:rsid w:val="00EA43B5"/>
    <w:rsid w:val="00EA4DE3"/>
    <w:rsid w:val="00EA5AE1"/>
    <w:rsid w:val="00EA5F4C"/>
    <w:rsid w:val="00EA66BF"/>
    <w:rsid w:val="00EA6931"/>
    <w:rsid w:val="00EA6EAB"/>
    <w:rsid w:val="00EA7D67"/>
    <w:rsid w:val="00EB07B2"/>
    <w:rsid w:val="00EB132A"/>
    <w:rsid w:val="00EB1E23"/>
    <w:rsid w:val="00EB329A"/>
    <w:rsid w:val="00EB372F"/>
    <w:rsid w:val="00EB3AAA"/>
    <w:rsid w:val="00EB3D39"/>
    <w:rsid w:val="00EB4A0A"/>
    <w:rsid w:val="00EB51C9"/>
    <w:rsid w:val="00EB55C9"/>
    <w:rsid w:val="00EB55D9"/>
    <w:rsid w:val="00EB56A9"/>
    <w:rsid w:val="00EB62AA"/>
    <w:rsid w:val="00EB684C"/>
    <w:rsid w:val="00EC0921"/>
    <w:rsid w:val="00EC3705"/>
    <w:rsid w:val="00EC4D9B"/>
    <w:rsid w:val="00EC5E5D"/>
    <w:rsid w:val="00ED007A"/>
    <w:rsid w:val="00ED1A2C"/>
    <w:rsid w:val="00ED271F"/>
    <w:rsid w:val="00ED2E05"/>
    <w:rsid w:val="00ED3419"/>
    <w:rsid w:val="00ED3738"/>
    <w:rsid w:val="00ED3908"/>
    <w:rsid w:val="00ED57DB"/>
    <w:rsid w:val="00ED5A0C"/>
    <w:rsid w:val="00ED705B"/>
    <w:rsid w:val="00ED74EA"/>
    <w:rsid w:val="00EE0D1A"/>
    <w:rsid w:val="00EE349A"/>
    <w:rsid w:val="00EE3634"/>
    <w:rsid w:val="00EE3A18"/>
    <w:rsid w:val="00EE3C61"/>
    <w:rsid w:val="00EE4303"/>
    <w:rsid w:val="00EE4996"/>
    <w:rsid w:val="00EE4D43"/>
    <w:rsid w:val="00EE60E1"/>
    <w:rsid w:val="00EE6694"/>
    <w:rsid w:val="00EE6EF1"/>
    <w:rsid w:val="00EE78B6"/>
    <w:rsid w:val="00EF0965"/>
    <w:rsid w:val="00EF0FD3"/>
    <w:rsid w:val="00EF25C5"/>
    <w:rsid w:val="00EF39CA"/>
    <w:rsid w:val="00EF4299"/>
    <w:rsid w:val="00EF4B74"/>
    <w:rsid w:val="00EF4BA7"/>
    <w:rsid w:val="00EF52A6"/>
    <w:rsid w:val="00EF5375"/>
    <w:rsid w:val="00EF5DC0"/>
    <w:rsid w:val="00EF67C5"/>
    <w:rsid w:val="00F0082D"/>
    <w:rsid w:val="00F008D8"/>
    <w:rsid w:val="00F013C0"/>
    <w:rsid w:val="00F019DE"/>
    <w:rsid w:val="00F02B8E"/>
    <w:rsid w:val="00F02C0E"/>
    <w:rsid w:val="00F03D67"/>
    <w:rsid w:val="00F05E54"/>
    <w:rsid w:val="00F06133"/>
    <w:rsid w:val="00F067E3"/>
    <w:rsid w:val="00F070CA"/>
    <w:rsid w:val="00F106DD"/>
    <w:rsid w:val="00F121A6"/>
    <w:rsid w:val="00F13852"/>
    <w:rsid w:val="00F138D0"/>
    <w:rsid w:val="00F13ADF"/>
    <w:rsid w:val="00F1463E"/>
    <w:rsid w:val="00F14772"/>
    <w:rsid w:val="00F16117"/>
    <w:rsid w:val="00F16245"/>
    <w:rsid w:val="00F20B63"/>
    <w:rsid w:val="00F2228D"/>
    <w:rsid w:val="00F228AA"/>
    <w:rsid w:val="00F24A55"/>
    <w:rsid w:val="00F24F4D"/>
    <w:rsid w:val="00F25546"/>
    <w:rsid w:val="00F267A5"/>
    <w:rsid w:val="00F26DAF"/>
    <w:rsid w:val="00F277A7"/>
    <w:rsid w:val="00F27DD3"/>
    <w:rsid w:val="00F304EA"/>
    <w:rsid w:val="00F3191C"/>
    <w:rsid w:val="00F32914"/>
    <w:rsid w:val="00F32D4C"/>
    <w:rsid w:val="00F32EE2"/>
    <w:rsid w:val="00F34435"/>
    <w:rsid w:val="00F3565F"/>
    <w:rsid w:val="00F35EBC"/>
    <w:rsid w:val="00F37071"/>
    <w:rsid w:val="00F37917"/>
    <w:rsid w:val="00F4078B"/>
    <w:rsid w:val="00F41B77"/>
    <w:rsid w:val="00F425BB"/>
    <w:rsid w:val="00F42BFF"/>
    <w:rsid w:val="00F435DD"/>
    <w:rsid w:val="00F43B84"/>
    <w:rsid w:val="00F44D55"/>
    <w:rsid w:val="00F455ED"/>
    <w:rsid w:val="00F45A42"/>
    <w:rsid w:val="00F469FF"/>
    <w:rsid w:val="00F46C47"/>
    <w:rsid w:val="00F51D78"/>
    <w:rsid w:val="00F536EC"/>
    <w:rsid w:val="00F54116"/>
    <w:rsid w:val="00F5436A"/>
    <w:rsid w:val="00F54593"/>
    <w:rsid w:val="00F54B2B"/>
    <w:rsid w:val="00F552DE"/>
    <w:rsid w:val="00F5687B"/>
    <w:rsid w:val="00F568BD"/>
    <w:rsid w:val="00F60006"/>
    <w:rsid w:val="00F6037A"/>
    <w:rsid w:val="00F603DB"/>
    <w:rsid w:val="00F60656"/>
    <w:rsid w:val="00F60FFC"/>
    <w:rsid w:val="00F61E48"/>
    <w:rsid w:val="00F64146"/>
    <w:rsid w:val="00F648B7"/>
    <w:rsid w:val="00F6501E"/>
    <w:rsid w:val="00F67297"/>
    <w:rsid w:val="00F672C7"/>
    <w:rsid w:val="00F70835"/>
    <w:rsid w:val="00F70B3E"/>
    <w:rsid w:val="00F70B6D"/>
    <w:rsid w:val="00F7116C"/>
    <w:rsid w:val="00F7288B"/>
    <w:rsid w:val="00F746CA"/>
    <w:rsid w:val="00F75890"/>
    <w:rsid w:val="00F75BEA"/>
    <w:rsid w:val="00F76A20"/>
    <w:rsid w:val="00F8061A"/>
    <w:rsid w:val="00F807D7"/>
    <w:rsid w:val="00F80D98"/>
    <w:rsid w:val="00F83627"/>
    <w:rsid w:val="00F83870"/>
    <w:rsid w:val="00F86E37"/>
    <w:rsid w:val="00F87258"/>
    <w:rsid w:val="00F87734"/>
    <w:rsid w:val="00F903D9"/>
    <w:rsid w:val="00F90514"/>
    <w:rsid w:val="00F90887"/>
    <w:rsid w:val="00F90F82"/>
    <w:rsid w:val="00F9178E"/>
    <w:rsid w:val="00F91DDF"/>
    <w:rsid w:val="00F922AA"/>
    <w:rsid w:val="00F939DE"/>
    <w:rsid w:val="00F94B27"/>
    <w:rsid w:val="00F94F2F"/>
    <w:rsid w:val="00F95DF2"/>
    <w:rsid w:val="00F95FB2"/>
    <w:rsid w:val="00F960E4"/>
    <w:rsid w:val="00F96617"/>
    <w:rsid w:val="00F97601"/>
    <w:rsid w:val="00FA49E7"/>
    <w:rsid w:val="00FA4CC8"/>
    <w:rsid w:val="00FA6139"/>
    <w:rsid w:val="00FA65DC"/>
    <w:rsid w:val="00FB0DDE"/>
    <w:rsid w:val="00FB2146"/>
    <w:rsid w:val="00FB2179"/>
    <w:rsid w:val="00FB21E9"/>
    <w:rsid w:val="00FB3575"/>
    <w:rsid w:val="00FB469F"/>
    <w:rsid w:val="00FB5783"/>
    <w:rsid w:val="00FB5FFF"/>
    <w:rsid w:val="00FB68AD"/>
    <w:rsid w:val="00FB70ED"/>
    <w:rsid w:val="00FB73EE"/>
    <w:rsid w:val="00FB7C15"/>
    <w:rsid w:val="00FC0100"/>
    <w:rsid w:val="00FC04B0"/>
    <w:rsid w:val="00FC04F1"/>
    <w:rsid w:val="00FC174D"/>
    <w:rsid w:val="00FC27B0"/>
    <w:rsid w:val="00FC2B45"/>
    <w:rsid w:val="00FC2FC0"/>
    <w:rsid w:val="00FC3A7C"/>
    <w:rsid w:val="00FC40D6"/>
    <w:rsid w:val="00FC469C"/>
    <w:rsid w:val="00FC48A6"/>
    <w:rsid w:val="00FC4A7B"/>
    <w:rsid w:val="00FC562D"/>
    <w:rsid w:val="00FC620E"/>
    <w:rsid w:val="00FD0E13"/>
    <w:rsid w:val="00FD2228"/>
    <w:rsid w:val="00FD27A1"/>
    <w:rsid w:val="00FD582E"/>
    <w:rsid w:val="00FD6983"/>
    <w:rsid w:val="00FD6D01"/>
    <w:rsid w:val="00FD6F0A"/>
    <w:rsid w:val="00FD70BE"/>
    <w:rsid w:val="00FD72A8"/>
    <w:rsid w:val="00FD7309"/>
    <w:rsid w:val="00FE0444"/>
    <w:rsid w:val="00FE1141"/>
    <w:rsid w:val="00FE11BB"/>
    <w:rsid w:val="00FE4AB4"/>
    <w:rsid w:val="00FE4CEA"/>
    <w:rsid w:val="00FE7B1C"/>
    <w:rsid w:val="00FF01EB"/>
    <w:rsid w:val="00FF023B"/>
    <w:rsid w:val="00FF3EDF"/>
    <w:rsid w:val="00FF4465"/>
    <w:rsid w:val="00FF460F"/>
    <w:rsid w:val="00FF4B6B"/>
    <w:rsid w:val="00FF4F23"/>
    <w:rsid w:val="00FF5602"/>
    <w:rsid w:val="00FF5CCA"/>
    <w:rsid w:val="00FF64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BE92F2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toc 1" w:uiPriority="39"/>
    <w:lsdException w:name="toc 2" w:uiPriority="39"/>
    <w:lsdException w:name="toc 3" w:uiPriority="39"/>
    <w:lsdException w:name="toc 4" w:uiPriority="39"/>
    <w:lsdException w:name="footnote text" w:qFormat="1"/>
    <w:lsdException w:name="footer" w:uiPriority="99"/>
    <w:lsdException w:name="footnote reference" w:qFormat="1"/>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5805"/>
    <w:pPr>
      <w:keepNext/>
      <w:spacing w:after="120" w:line="360" w:lineRule="auto"/>
      <w:ind w:firstLine="720"/>
      <w:jc w:val="both"/>
      <w:outlineLvl w:val="3"/>
    </w:pPr>
    <w:rPr>
      <w:sz w:val="24"/>
      <w:szCs w:val="24"/>
    </w:rPr>
  </w:style>
  <w:style w:type="paragraph" w:styleId="Heading1">
    <w:name w:val="heading 1"/>
    <w:basedOn w:val="Normal"/>
    <w:next w:val="Normal"/>
    <w:qFormat/>
    <w:pPr>
      <w:spacing w:line="480" w:lineRule="auto"/>
      <w:ind w:left="720" w:hanging="720"/>
      <w:jc w:val="center"/>
      <w:outlineLvl w:val="0"/>
    </w:pPr>
    <w:rPr>
      <w:b/>
      <w:caps/>
      <w:sz w:val="28"/>
    </w:rPr>
  </w:style>
  <w:style w:type="paragraph" w:styleId="Heading2">
    <w:name w:val="heading 2"/>
    <w:aliases w:val="Section Heading"/>
    <w:basedOn w:val="Normal"/>
    <w:next w:val="Normal"/>
    <w:qFormat/>
    <w:rsid w:val="00071BFA"/>
    <w:pPr>
      <w:ind w:firstLine="0"/>
      <w:jc w:val="center"/>
      <w:outlineLvl w:val="1"/>
    </w:pPr>
    <w:rPr>
      <w:b/>
      <w:caps/>
    </w:rPr>
  </w:style>
  <w:style w:type="paragraph" w:styleId="Heading3">
    <w:name w:val="heading 3"/>
    <w:basedOn w:val="Heading2"/>
    <w:next w:val="Normal"/>
    <w:pPr>
      <w:ind w:left="1440"/>
      <w:outlineLvl w:val="2"/>
    </w:pPr>
  </w:style>
  <w:style w:type="paragraph" w:styleId="Heading4">
    <w:name w:val="heading 4"/>
    <w:basedOn w:val="Heading3"/>
    <w:next w:val="Normal"/>
    <w:pPr>
      <w:ind w:left="2160"/>
      <w:outlineLvl w:val="3"/>
    </w:pPr>
  </w:style>
  <w:style w:type="paragraph" w:styleId="Heading5">
    <w:name w:val="heading 5"/>
    <w:basedOn w:val="Heading4"/>
    <w:next w:val="Normal"/>
    <w:pPr>
      <w:ind w:left="2880"/>
      <w:outlineLvl w:val="4"/>
    </w:pPr>
  </w:style>
  <w:style w:type="paragraph" w:styleId="Heading6">
    <w:name w:val="heading 6"/>
    <w:basedOn w:val="Heading5"/>
    <w:next w:val="Normal"/>
    <w:pPr>
      <w:ind w:left="3600"/>
      <w:outlineLvl w:val="5"/>
    </w:pPr>
  </w:style>
  <w:style w:type="paragraph" w:styleId="Heading7">
    <w:name w:val="heading 7"/>
    <w:basedOn w:val="Heading6"/>
    <w:next w:val="Normal"/>
    <w:pPr>
      <w:ind w:left="4320"/>
      <w:outlineLvl w:val="6"/>
    </w:pPr>
  </w:style>
  <w:style w:type="paragraph" w:styleId="Heading8">
    <w:name w:val="heading 8"/>
    <w:basedOn w:val="Heading7"/>
    <w:next w:val="Normal"/>
    <w:pPr>
      <w:ind w:left="5040"/>
      <w:outlineLvl w:val="7"/>
    </w:pPr>
  </w:style>
  <w:style w:type="paragraph" w:styleId="Heading9">
    <w:name w:val="heading 9"/>
    <w:basedOn w:val="Heading8"/>
    <w:next w:val="Normal"/>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ketnumber">
    <w:name w:val="Docket number"/>
    <w:basedOn w:val="Normal"/>
    <w:link w:val="DocketnumberChar"/>
    <w:pPr>
      <w:jc w:val="center"/>
    </w:pPr>
    <w:rPr>
      <w:b/>
      <w:caps/>
      <w:sz w:val="28"/>
    </w:rPr>
  </w:style>
  <w:style w:type="paragraph" w:customStyle="1" w:styleId="Docketstyle">
    <w:name w:val="Docket style"/>
    <w:basedOn w:val="Normal"/>
    <w:pPr>
      <w:tabs>
        <w:tab w:val="center" w:pos="4770"/>
        <w:tab w:val="left" w:pos="5400"/>
      </w:tabs>
      <w:spacing w:line="288" w:lineRule="auto"/>
    </w:pPr>
    <w:rPr>
      <w:b/>
      <w:caps/>
    </w:rPr>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link w:val="FooterChar"/>
    <w:uiPriority w:val="99"/>
    <w:pPr>
      <w:tabs>
        <w:tab w:val="center" w:pos="4680"/>
        <w:tab w:val="right" w:pos="9360"/>
      </w:tabs>
      <w:spacing w:line="240" w:lineRule="atLeast"/>
    </w:pPr>
    <w:rPr>
      <w:sz w:val="16"/>
    </w:rPr>
  </w:style>
  <w:style w:type="paragraph" w:customStyle="1" w:styleId="Footnoteparagraph">
    <w:name w:val="Footnote paragraph"/>
    <w:basedOn w:val="FootnoteText"/>
  </w:style>
  <w:style w:type="paragraph" w:styleId="FootnoteText">
    <w:name w:val="footnote text"/>
    <w:aliases w:val="Footnote Text Char2,Footnote Text Char Char,Footnote Text Char2 Char Char,Footnote Text Char Char Char1 Char,Footnote Text Char2 Char Char Char1 Char,Footnote Text Char Char Char1 Char Char Char1,Footnote Text Char2 Cha,Style 22,Style 13"/>
    <w:basedOn w:val="Normal"/>
    <w:next w:val="Footnoteparagraph"/>
    <w:link w:val="FootnoteTextChar"/>
    <w:qFormat/>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aliases w:val="o,fr,Style 3,Style 21,Style 12,Style 11,Style 28,Style 8,Style 4,Style 17,o1,fr1,o2,fr2,o3,fr3,(NECG) Footnote Reference,Style 20,Style 7,Style 18,Style 19,Style 24,Style 15,Style 16,Style 29,Style 32,Style 9,o + Times New Roman"/>
    <w:qFormat/>
    <w:rsid w:val="00BB22C4"/>
    <w:rPr>
      <w:position w:val="0"/>
      <w:vertAlign w:val="superscript"/>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after="0" w:line="240" w:lineRule="auto"/>
      <w:ind w:left="0" w:firstLine="0"/>
      <w:jc w:val="left"/>
      <w:outlineLvl w:val="9"/>
    </w:pPr>
    <w:rPr>
      <w:rFonts w:ascii="Arial" w:hAnsi="Arial" w:cs="Arial"/>
      <w:bCs/>
      <w:sz w:val="24"/>
    </w:rPr>
  </w:style>
  <w:style w:type="paragraph" w:styleId="TOC2">
    <w:name w:val="toc 2"/>
    <w:basedOn w:val="TOC1"/>
    <w:next w:val="Normal"/>
    <w:uiPriority w:val="39"/>
    <w:pPr>
      <w:spacing w:before="240"/>
    </w:pPr>
    <w:rPr>
      <w:rFonts w:ascii="Times New Roman" w:hAnsi="Times New Roman" w:cs="Times New Roman"/>
      <w:caps w:val="0"/>
      <w:sz w:val="20"/>
      <w:szCs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uiPriority w:val="39"/>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qFormat/>
    <w:rsid w:val="00170CA0"/>
    <w:pPr>
      <w:spacing w:after="0" w:line="240" w:lineRule="auto"/>
      <w:ind w:firstLine="5040"/>
    </w:pPr>
  </w:style>
  <w:style w:type="paragraph" w:customStyle="1" w:styleId="Footnote">
    <w:name w:val="Footnote"/>
    <w:basedOn w:val="FootnoteText"/>
    <w:link w:val="FootnoteChar"/>
    <w:qFormat/>
    <w:rsid w:val="008C02BF"/>
    <w:pPr>
      <w:spacing w:after="0" w:line="240" w:lineRule="auto"/>
      <w:outlineLvl w:val="9"/>
    </w:pPr>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Normal"/>
    <w:link w:val="BlockquoteChar"/>
    <w:qFormat/>
    <w:rsid w:val="008C02BF"/>
    <w:pPr>
      <w:spacing w:line="240" w:lineRule="auto"/>
      <w:ind w:left="720" w:right="720" w:firstLine="0"/>
    </w:pPr>
  </w:style>
  <w:style w:type="character" w:customStyle="1" w:styleId="FootnoteTextChar">
    <w:name w:val="Footnote Text Char"/>
    <w:aliases w:val="Footnote Text Char2 Char,Footnote Text Char Char Char,Footnote Text Char2 Char Char Char,Footnote Text Char Char Char1 Char Char,Footnote Text Char2 Char Char Char1 Char Char,Footnote Text Char Char Char1 Char Char Char1 Char"/>
    <w:link w:val="FootnoteText"/>
    <w:rsid w:val="008C02BF"/>
    <w:rPr>
      <w:szCs w:val="24"/>
    </w:rPr>
  </w:style>
  <w:style w:type="character" w:customStyle="1" w:styleId="FootnoteChar">
    <w:name w:val="Footnote Char"/>
    <w:basedOn w:val="FootnoteTextChar"/>
    <w:link w:val="Footnote"/>
    <w:rsid w:val="008C02BF"/>
    <w:rPr>
      <w:szCs w:val="24"/>
    </w:rPr>
  </w:style>
  <w:style w:type="paragraph" w:customStyle="1" w:styleId="CaseCaption">
    <w:name w:val="Case Caption"/>
    <w:basedOn w:val="Normal"/>
    <w:link w:val="CaseCaptionChar"/>
    <w:qFormat/>
    <w:rsid w:val="008016FB"/>
    <w:pPr>
      <w:spacing w:after="0" w:line="240" w:lineRule="auto"/>
      <w:ind w:firstLine="0"/>
      <w:jc w:val="center"/>
    </w:pPr>
    <w:rPr>
      <w:b/>
      <w:caps/>
    </w:rPr>
  </w:style>
  <w:style w:type="character" w:customStyle="1" w:styleId="BlockquoteChar">
    <w:name w:val="Blockquote Char"/>
    <w:link w:val="Blockquote"/>
    <w:rsid w:val="008C02BF"/>
    <w:rPr>
      <w:sz w:val="24"/>
      <w:szCs w:val="24"/>
    </w:rPr>
  </w:style>
  <w:style w:type="paragraph" w:customStyle="1" w:styleId="DocketNo0">
    <w:name w:val="Docket No"/>
    <w:basedOn w:val="Docketnumber"/>
    <w:link w:val="DocketNoChar"/>
    <w:qFormat/>
    <w:rsid w:val="00F83627"/>
  </w:style>
  <w:style w:type="character" w:customStyle="1" w:styleId="CaseCaptionChar">
    <w:name w:val="Case Caption Char"/>
    <w:link w:val="CaseCaption"/>
    <w:rsid w:val="008016FB"/>
    <w:rPr>
      <w:b/>
      <w:caps/>
      <w:sz w:val="24"/>
      <w:szCs w:val="24"/>
    </w:rPr>
  </w:style>
  <w:style w:type="paragraph" w:customStyle="1" w:styleId="CertificateofService">
    <w:name w:val="Certificate of Service"/>
    <w:basedOn w:val="DocketNo0"/>
    <w:link w:val="CertificateofServiceChar"/>
    <w:qFormat/>
    <w:rsid w:val="00F83627"/>
    <w:rPr>
      <w:sz w:val="24"/>
    </w:rPr>
  </w:style>
  <w:style w:type="character" w:customStyle="1" w:styleId="DocketnumberChar">
    <w:name w:val="Docket number Char"/>
    <w:link w:val="Docketnumber"/>
    <w:rsid w:val="00F83627"/>
    <w:rPr>
      <w:b/>
      <w:caps/>
      <w:sz w:val="28"/>
      <w:szCs w:val="24"/>
    </w:rPr>
  </w:style>
  <w:style w:type="character" w:customStyle="1" w:styleId="DocketNoChar">
    <w:name w:val="Docket No Char"/>
    <w:basedOn w:val="DocketnumberChar"/>
    <w:link w:val="DocketNo0"/>
    <w:rsid w:val="00F83627"/>
    <w:rPr>
      <w:b/>
      <w:caps/>
      <w:sz w:val="28"/>
      <w:szCs w:val="24"/>
    </w:rPr>
  </w:style>
  <w:style w:type="character" w:customStyle="1" w:styleId="CertificateofServiceChar">
    <w:name w:val="Certificate of Service Char"/>
    <w:link w:val="CertificateofService"/>
    <w:rsid w:val="00F83627"/>
    <w:rPr>
      <w:b/>
      <w:caps/>
      <w:sz w:val="24"/>
      <w:szCs w:val="24"/>
    </w:rPr>
  </w:style>
  <w:style w:type="character" w:styleId="UnresolvedMention">
    <w:name w:val="Unresolved Mention"/>
    <w:basedOn w:val="DefaultParagraphFont"/>
    <w:uiPriority w:val="99"/>
    <w:semiHidden/>
    <w:unhideWhenUsed/>
    <w:rsid w:val="000612C6"/>
    <w:rPr>
      <w:color w:val="605E5C"/>
      <w:shd w:val="clear" w:color="auto" w:fill="E1DFDD"/>
    </w:rPr>
  </w:style>
  <w:style w:type="character" w:styleId="CommentReference">
    <w:name w:val="annotation reference"/>
    <w:basedOn w:val="DefaultParagraphFont"/>
    <w:rsid w:val="00852677"/>
    <w:rPr>
      <w:sz w:val="16"/>
      <w:szCs w:val="16"/>
    </w:rPr>
  </w:style>
  <w:style w:type="paragraph" w:styleId="CommentText">
    <w:name w:val="annotation text"/>
    <w:basedOn w:val="Normal"/>
    <w:link w:val="CommentTextChar"/>
    <w:rsid w:val="00852677"/>
    <w:pPr>
      <w:spacing w:line="240" w:lineRule="auto"/>
    </w:pPr>
    <w:rPr>
      <w:sz w:val="20"/>
      <w:szCs w:val="20"/>
    </w:rPr>
  </w:style>
  <w:style w:type="character" w:customStyle="1" w:styleId="CommentTextChar">
    <w:name w:val="Comment Text Char"/>
    <w:basedOn w:val="DefaultParagraphFont"/>
    <w:link w:val="CommentText"/>
    <w:rsid w:val="00852677"/>
  </w:style>
  <w:style w:type="paragraph" w:styleId="CommentSubject">
    <w:name w:val="annotation subject"/>
    <w:basedOn w:val="CommentText"/>
    <w:next w:val="CommentText"/>
    <w:link w:val="CommentSubjectChar"/>
    <w:rsid w:val="00852677"/>
    <w:rPr>
      <w:b/>
      <w:bCs/>
    </w:rPr>
  </w:style>
  <w:style w:type="character" w:customStyle="1" w:styleId="CommentSubjectChar">
    <w:name w:val="Comment Subject Char"/>
    <w:basedOn w:val="CommentTextChar"/>
    <w:link w:val="CommentSubject"/>
    <w:rsid w:val="00852677"/>
    <w:rPr>
      <w:b/>
      <w:bCs/>
    </w:rPr>
  </w:style>
  <w:style w:type="table" w:customStyle="1" w:styleId="TableGrid1">
    <w:name w:val="Table Grid1"/>
    <w:basedOn w:val="TableNormal"/>
    <w:next w:val="TableGrid"/>
    <w:rsid w:val="00BF5A70"/>
    <w:rPr>
      <w:rFonts w:asciiTheme="minorHAnsi" w:eastAsiaTheme="minorHAnsi" w:hAnsiTheme="minorHAnsi"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ListParagraph">
    <w:name w:val="List Paragraph"/>
    <w:basedOn w:val="Normal"/>
    <w:link w:val="ListParagraphChar"/>
    <w:uiPriority w:val="34"/>
    <w:qFormat/>
    <w:rsid w:val="0076431F"/>
    <w:pPr>
      <w:keepNext w:val="0"/>
      <w:spacing w:after="0"/>
      <w:ind w:firstLine="0"/>
      <w:jc w:val="left"/>
      <w:outlineLvl w:val="9"/>
    </w:pPr>
    <w:rPr>
      <w:rFonts w:eastAsiaTheme="minorHAnsi" w:cstheme="minorBidi"/>
      <w:szCs w:val="22"/>
    </w:rPr>
  </w:style>
  <w:style w:type="paragraph" w:styleId="TOCHeading">
    <w:name w:val="TOC Heading"/>
    <w:basedOn w:val="Heading1"/>
    <w:next w:val="Normal"/>
    <w:uiPriority w:val="39"/>
    <w:unhideWhenUsed/>
    <w:qFormat/>
    <w:rsid w:val="00674B70"/>
    <w:pPr>
      <w:keepLines/>
      <w:spacing w:before="240" w:after="0" w:line="259" w:lineRule="auto"/>
      <w:ind w:left="0" w:firstLine="0"/>
      <w:jc w:val="left"/>
      <w:outlineLvl w:val="9"/>
    </w:pPr>
    <w:rPr>
      <w:rFonts w:asciiTheme="majorHAnsi" w:eastAsiaTheme="majorEastAsia" w:hAnsiTheme="majorHAnsi" w:cstheme="majorBidi"/>
      <w:b w:val="0"/>
      <w:caps w:val="0"/>
      <w:color w:val="2F5496" w:themeColor="accent1" w:themeShade="BF"/>
      <w:sz w:val="32"/>
      <w:szCs w:val="32"/>
    </w:rPr>
  </w:style>
  <w:style w:type="paragraph" w:customStyle="1" w:styleId="BriefHeading2">
    <w:name w:val="Brief Heading 2"/>
    <w:basedOn w:val="ListParagraph"/>
    <w:link w:val="BriefHeading2Char"/>
    <w:rsid w:val="00674B70"/>
    <w:pPr>
      <w:numPr>
        <w:numId w:val="1"/>
      </w:numPr>
      <w:ind w:left="720" w:hanging="720"/>
      <w:jc w:val="both"/>
    </w:pPr>
    <w:rPr>
      <w:rFonts w:cs="Times New Roman"/>
      <w:b/>
      <w:szCs w:val="24"/>
    </w:rPr>
  </w:style>
  <w:style w:type="paragraph" w:customStyle="1" w:styleId="Style1">
    <w:name w:val="Style1"/>
    <w:basedOn w:val="Documentheading"/>
    <w:rsid w:val="00B57085"/>
  </w:style>
  <w:style w:type="character" w:customStyle="1" w:styleId="ListParagraphChar">
    <w:name w:val="List Paragraph Char"/>
    <w:basedOn w:val="DefaultParagraphFont"/>
    <w:link w:val="ListParagraph"/>
    <w:uiPriority w:val="34"/>
    <w:rsid w:val="0076431F"/>
    <w:rPr>
      <w:rFonts w:eastAsiaTheme="minorHAnsi" w:cstheme="minorBidi"/>
      <w:sz w:val="24"/>
      <w:szCs w:val="22"/>
    </w:rPr>
  </w:style>
  <w:style w:type="character" w:customStyle="1" w:styleId="BriefHeading2Char">
    <w:name w:val="Brief Heading 2 Char"/>
    <w:basedOn w:val="ListParagraphChar"/>
    <w:link w:val="BriefHeading2"/>
    <w:rsid w:val="00674B70"/>
    <w:rPr>
      <w:rFonts w:eastAsiaTheme="minorHAnsi" w:cstheme="minorBidi"/>
      <w:b/>
      <w:sz w:val="24"/>
      <w:szCs w:val="24"/>
    </w:rPr>
  </w:style>
  <w:style w:type="character" w:customStyle="1" w:styleId="FooterChar">
    <w:name w:val="Footer Char"/>
    <w:basedOn w:val="DefaultParagraphFont"/>
    <w:link w:val="Footer"/>
    <w:uiPriority w:val="99"/>
    <w:rsid w:val="00061134"/>
    <w:rPr>
      <w:sz w:val="16"/>
      <w:szCs w:val="24"/>
    </w:rPr>
  </w:style>
  <w:style w:type="paragraph" w:styleId="Revision">
    <w:name w:val="Revision"/>
    <w:hidden/>
    <w:uiPriority w:val="99"/>
    <w:semiHidden/>
    <w:rsid w:val="003F1294"/>
    <w:rPr>
      <w:sz w:val="24"/>
      <w:szCs w:val="24"/>
    </w:rPr>
  </w:style>
  <w:style w:type="paragraph" w:customStyle="1" w:styleId="BT15BodyText">
    <w:name w:val="BT1.5 Body Text"/>
    <w:basedOn w:val="Normal"/>
    <w:qFormat/>
    <w:rsid w:val="00FF023B"/>
    <w:pPr>
      <w:keepNext w:val="0"/>
      <w:spacing w:after="0"/>
      <w:outlineLvl w:val="9"/>
    </w:pPr>
    <w:rPr>
      <w:rFonts w:eastAsiaTheme="minorHAnsi" w:cstheme="minorBidi"/>
    </w:rPr>
  </w:style>
  <w:style w:type="paragraph" w:customStyle="1" w:styleId="Default">
    <w:name w:val="Default"/>
    <w:rsid w:val="00FF023B"/>
    <w:pPr>
      <w:autoSpaceDE w:val="0"/>
      <w:autoSpaceDN w:val="0"/>
      <w:adjustRightInd w:val="0"/>
    </w:pPr>
    <w:rPr>
      <w:rFonts w:ascii="Arial" w:eastAsiaTheme="minorHAnsi" w:hAnsi="Arial" w:cs="Arial"/>
      <w:color w:val="000000"/>
      <w:sz w:val="24"/>
      <w:szCs w:val="24"/>
    </w:rPr>
  </w:style>
  <w:style w:type="paragraph" w:customStyle="1" w:styleId="TBCTitleBoldCenter">
    <w:name w:val="TBC Title Bold Center"/>
    <w:basedOn w:val="Normal"/>
    <w:next w:val="Normal"/>
    <w:uiPriority w:val="2"/>
    <w:qFormat/>
    <w:rsid w:val="00F14772"/>
    <w:pPr>
      <w:spacing w:after="240" w:line="240" w:lineRule="auto"/>
      <w:ind w:firstLine="0"/>
      <w:jc w:val="center"/>
      <w:outlineLvl w:val="0"/>
    </w:pPr>
    <w:rPr>
      <w:rFonts w:eastAsiaTheme="minorHAnsi" w:cstheme="minorBidi"/>
      <w:b/>
    </w:rPr>
  </w:style>
  <w:style w:type="character" w:styleId="PlaceholderText">
    <w:name w:val="Placeholder Text"/>
    <w:basedOn w:val="DefaultParagraphFont"/>
    <w:uiPriority w:val="99"/>
    <w:semiHidden/>
    <w:rsid w:val="00506627"/>
    <w:rPr>
      <w:color w:val="808080"/>
    </w:rPr>
  </w:style>
  <w:style w:type="table" w:customStyle="1" w:styleId="TableGrid2">
    <w:name w:val="Table Grid2"/>
    <w:basedOn w:val="TableNormal"/>
    <w:next w:val="TableGrid"/>
    <w:uiPriority w:val="39"/>
    <w:rsid w:val="00CE71A3"/>
    <w:rPr>
      <w:rFonts w:asciiTheme="minorHAnsi" w:eastAsiaTheme="minorHAnsi" w:hAnsiTheme="minorHAnsi" w:cstheme="minorBidi"/>
      <w:kern w:val="2"/>
      <w:sz w:val="22"/>
      <w:szCs w:val="2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468872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2076396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glossaryDocument" Target="glossary/document.xml"/><Relationship Id="rId4" Type="http://schemas.openxmlformats.org/officeDocument/2006/relationships/webSettings" Target="web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24B95ABEC8D4B4CBB2A9252293D9A50"/>
        <w:category>
          <w:name w:val="General"/>
          <w:gallery w:val="placeholder"/>
        </w:category>
        <w:types>
          <w:type w:val="bbPlcHdr"/>
        </w:types>
        <w:behaviors>
          <w:behavior w:val="content"/>
        </w:behaviors>
        <w:guid w:val="{781E1750-3069-4D2B-9216-AF2BCBEFF253}"/>
      </w:docPartPr>
      <w:docPartBody>
        <w:p w:rsidR="006015FB" w:rsidRDefault="006015FB" w:rsidP="006015FB">
          <w:pPr>
            <w:pStyle w:val="624B95ABEC8D4B4CBB2A9252293D9A50"/>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151E"/>
    <w:rsid w:val="00044583"/>
    <w:rsid w:val="0005646A"/>
    <w:rsid w:val="000E0E6F"/>
    <w:rsid w:val="00260CD3"/>
    <w:rsid w:val="002C3A17"/>
    <w:rsid w:val="0033151E"/>
    <w:rsid w:val="00491D34"/>
    <w:rsid w:val="005A2EDB"/>
    <w:rsid w:val="006015FB"/>
    <w:rsid w:val="006D0756"/>
    <w:rsid w:val="006E50D2"/>
    <w:rsid w:val="008A06C0"/>
    <w:rsid w:val="00B01E61"/>
    <w:rsid w:val="00BC7E43"/>
    <w:rsid w:val="00D569B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015FB"/>
  </w:style>
  <w:style w:type="paragraph" w:customStyle="1" w:styleId="624B95ABEC8D4B4CBB2A9252293D9A50">
    <w:name w:val="624B95ABEC8D4B4CBB2A9252293D9A50"/>
    <w:rsid w:val="006015FB"/>
    <w:rPr>
      <w:kern w:val="2"/>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19</Pages>
  <Words>5484</Words>
  <Characters>31265</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2024-04-15T23:00:00Z</dcterms:created>
  <dcterms:modified xsi:type="dcterms:W3CDTF">2024-08-01T19:47:00Z</dcterms:modified>
</cp:coreProperties>
</file>